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C9" w:rsidRPr="00323DA2" w:rsidRDefault="00A067C9">
      <w:pPr>
        <w:shd w:val="clear" w:color="auto" w:fill="FFFFFF"/>
        <w:spacing w:before="410"/>
        <w:ind w:left="2916"/>
      </w:pPr>
      <w:r w:rsidRPr="00323DA2">
        <w:rPr>
          <w:b/>
          <w:bCs/>
          <w:spacing w:val="-7"/>
          <w:sz w:val="28"/>
          <w:szCs w:val="28"/>
        </w:rPr>
        <w:t>Doložka vybraných vplyvov</w:t>
      </w:r>
    </w:p>
    <w:p w:rsidR="00A067C9" w:rsidRPr="00323DA2" w:rsidRDefault="00A067C9" w:rsidP="00637861">
      <w:pPr>
        <w:shd w:val="clear" w:color="auto" w:fill="FFFFFF"/>
        <w:spacing w:before="828"/>
        <w:ind w:left="2410" w:hanging="2288"/>
      </w:pPr>
      <w:proofErr w:type="spellStart"/>
      <w:r w:rsidRPr="00323DA2">
        <w:rPr>
          <w:b/>
          <w:bCs/>
          <w:spacing w:val="-3"/>
          <w:sz w:val="24"/>
          <w:szCs w:val="24"/>
        </w:rPr>
        <w:t>A.l</w:t>
      </w:r>
      <w:proofErr w:type="spellEnd"/>
      <w:r w:rsidRPr="00323DA2">
        <w:rPr>
          <w:b/>
          <w:bCs/>
          <w:spacing w:val="-3"/>
          <w:sz w:val="24"/>
          <w:szCs w:val="24"/>
        </w:rPr>
        <w:t>. Názov materiálu:</w:t>
      </w:r>
      <w:r w:rsidR="00637861">
        <w:rPr>
          <w:b/>
          <w:bCs/>
          <w:spacing w:val="-3"/>
          <w:sz w:val="24"/>
          <w:szCs w:val="24"/>
        </w:rPr>
        <w:t xml:space="preserve">  </w:t>
      </w:r>
      <w:r w:rsidR="00F81D0F">
        <w:rPr>
          <w:bCs/>
          <w:spacing w:val="-3"/>
          <w:sz w:val="24"/>
          <w:szCs w:val="24"/>
        </w:rPr>
        <w:t>Zákon o katastri nehnuteľností</w:t>
      </w:r>
      <w:r w:rsidR="00637861" w:rsidRPr="00637861">
        <w:rPr>
          <w:bCs/>
          <w:spacing w:val="-3"/>
          <w:sz w:val="24"/>
          <w:szCs w:val="24"/>
        </w:rPr>
        <w:t xml:space="preserve"> a o zmene a doplnení zákona č. 145/1995 Z. z. o správnych poplatkoch v znení neskorších predpisov</w:t>
      </w:r>
    </w:p>
    <w:p w:rsidR="00637861" w:rsidRDefault="00637861" w:rsidP="00637861">
      <w:pPr>
        <w:shd w:val="clear" w:color="auto" w:fill="FFFFFF"/>
        <w:ind w:firstLine="426"/>
        <w:rPr>
          <w:b/>
          <w:bCs/>
          <w:spacing w:val="-7"/>
          <w:sz w:val="24"/>
          <w:szCs w:val="24"/>
        </w:rPr>
      </w:pPr>
    </w:p>
    <w:p w:rsidR="00A067C9" w:rsidRPr="00323DA2" w:rsidRDefault="00A067C9" w:rsidP="00637861">
      <w:pPr>
        <w:shd w:val="clear" w:color="auto" w:fill="FFFFFF"/>
        <w:ind w:firstLine="426"/>
      </w:pPr>
      <w:r w:rsidRPr="00323DA2">
        <w:rPr>
          <w:b/>
          <w:bCs/>
          <w:spacing w:val="-7"/>
          <w:sz w:val="24"/>
          <w:szCs w:val="24"/>
        </w:rPr>
        <w:t>Termín začatia a ukončenia PPK:</w:t>
      </w:r>
      <w:r w:rsidR="00637861">
        <w:rPr>
          <w:b/>
          <w:bCs/>
          <w:spacing w:val="-7"/>
          <w:sz w:val="24"/>
          <w:szCs w:val="24"/>
        </w:rPr>
        <w:t xml:space="preserve"> -</w:t>
      </w:r>
    </w:p>
    <w:p w:rsidR="00A067C9" w:rsidRDefault="00A067C9">
      <w:pPr>
        <w:shd w:val="clear" w:color="auto" w:fill="FFFFFF"/>
        <w:spacing w:before="799"/>
        <w:ind w:left="130"/>
      </w:pPr>
      <w:r>
        <w:rPr>
          <w:b/>
          <w:bCs/>
          <w:color w:val="000000"/>
          <w:spacing w:val="-8"/>
          <w:sz w:val="24"/>
          <w:szCs w:val="24"/>
        </w:rPr>
        <w:t>A.2. Vplyvy:</w:t>
      </w:r>
    </w:p>
    <w:p w:rsidR="00A067C9" w:rsidRDefault="00A067C9">
      <w:pPr>
        <w:spacing w:after="24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593"/>
        <w:gridCol w:w="1188"/>
        <w:gridCol w:w="1202"/>
        <w:gridCol w:w="1296"/>
      </w:tblGrid>
      <w:tr w:rsidR="00A067C9" w:rsidRPr="00A067C9">
        <w:trPr>
          <w:trHeight w:hRule="exact" w:val="403"/>
        </w:trPr>
        <w:tc>
          <w:tcPr>
            <w:tcW w:w="3593"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ind w:left="7"/>
            </w:pPr>
            <w:r w:rsidRPr="00A067C9">
              <w:rPr>
                <w:color w:val="000000"/>
                <w:spacing w:val="-7"/>
                <w:sz w:val="24"/>
                <w:szCs w:val="24"/>
              </w:rPr>
              <w:t>Pozit</w:t>
            </w:r>
            <w:r>
              <w:rPr>
                <w:color w:val="000000"/>
                <w:spacing w:val="-7"/>
                <w:sz w:val="24"/>
                <w:szCs w:val="24"/>
              </w:rPr>
              <w:t>ívne</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ind w:left="130"/>
            </w:pPr>
            <w:r>
              <w:rPr>
                <w:color w:val="000000"/>
                <w:spacing w:val="-9"/>
                <w:sz w:val="24"/>
                <w:szCs w:val="24"/>
              </w:rPr>
              <w:t>Žiadne</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ind w:left="22"/>
            </w:pPr>
            <w:r w:rsidRPr="00A067C9">
              <w:rPr>
                <w:color w:val="000000"/>
                <w:spacing w:val="-8"/>
                <w:sz w:val="24"/>
                <w:szCs w:val="24"/>
              </w:rPr>
              <w:t>Negat</w:t>
            </w:r>
            <w:r>
              <w:rPr>
                <w:color w:val="000000"/>
                <w:spacing w:val="-8"/>
                <w:sz w:val="24"/>
                <w:szCs w:val="24"/>
              </w:rPr>
              <w:t>ívne</w:t>
            </w:r>
          </w:p>
        </w:tc>
      </w:tr>
      <w:tr w:rsidR="00A067C9" w:rsidRPr="00A067C9">
        <w:trPr>
          <w:trHeight w:hRule="exact" w:val="612"/>
        </w:trPr>
        <w:tc>
          <w:tcPr>
            <w:tcW w:w="3593"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rsidP="00323DA2">
            <w:pPr>
              <w:shd w:val="clear" w:color="auto" w:fill="FFFFFF"/>
              <w:ind w:left="29"/>
            </w:pPr>
            <w:r w:rsidRPr="00A067C9">
              <w:rPr>
                <w:b/>
                <w:bCs/>
                <w:color w:val="000000"/>
                <w:spacing w:val="2"/>
              </w:rPr>
              <w:t>1</w:t>
            </w:r>
            <w:r w:rsidRPr="00A067C9">
              <w:rPr>
                <w:color w:val="000000"/>
                <w:spacing w:val="2"/>
              </w:rPr>
              <w:t>. Vplyvy na rozpo</w:t>
            </w:r>
            <w:r>
              <w:rPr>
                <w:color w:val="000000"/>
                <w:spacing w:val="2"/>
              </w:rPr>
              <w:t>če</w:t>
            </w:r>
            <w:r w:rsidR="00323DA2">
              <w:rPr>
                <w:color w:val="000000"/>
                <w:spacing w:val="2"/>
              </w:rPr>
              <w:t>t</w:t>
            </w:r>
            <w:r>
              <w:rPr>
                <w:color w:val="000000"/>
                <w:spacing w:val="2"/>
              </w:rPr>
              <w:t xml:space="preserve"> verejnej správy</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637861" w:rsidP="00637861">
            <w:pPr>
              <w:shd w:val="clear" w:color="auto" w:fill="FFFFFF"/>
              <w:jc w:val="center"/>
            </w:pPr>
            <w:r>
              <w:t>x</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pPr>
          </w:p>
        </w:tc>
      </w:tr>
      <w:tr w:rsidR="00A067C9" w:rsidRPr="00A067C9">
        <w:trPr>
          <w:trHeight w:hRule="exact" w:val="857"/>
        </w:trPr>
        <w:tc>
          <w:tcPr>
            <w:tcW w:w="3593"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rsidP="00323DA2">
            <w:pPr>
              <w:shd w:val="clear" w:color="auto" w:fill="FFFFFF"/>
              <w:spacing w:line="245" w:lineRule="exact"/>
              <w:ind w:right="130"/>
            </w:pPr>
            <w:r w:rsidRPr="00A067C9">
              <w:rPr>
                <w:color w:val="000000"/>
                <w:spacing w:val="3"/>
              </w:rPr>
              <w:t>2. Vplyvy na podnikate</w:t>
            </w:r>
            <w:r>
              <w:rPr>
                <w:color w:val="000000"/>
                <w:spacing w:val="3"/>
              </w:rPr>
              <w:t xml:space="preserve">ľské prostredie </w:t>
            </w:r>
            <w:r>
              <w:rPr>
                <w:color w:val="000000"/>
                <w:spacing w:val="6"/>
              </w:rPr>
              <w:t>- dochádza k zvý</w:t>
            </w:r>
            <w:r w:rsidR="00323DA2">
              <w:rPr>
                <w:color w:val="000000"/>
                <w:spacing w:val="6"/>
              </w:rPr>
              <w:t>š</w:t>
            </w:r>
            <w:r>
              <w:rPr>
                <w:color w:val="000000"/>
                <w:spacing w:val="6"/>
              </w:rPr>
              <w:t xml:space="preserve">eniu regulačného </w:t>
            </w:r>
            <w:r>
              <w:rPr>
                <w:color w:val="000000"/>
                <w:spacing w:val="3"/>
              </w:rPr>
              <w:t>zaťaženia?</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637861" w:rsidP="00637861">
            <w:pPr>
              <w:shd w:val="clear" w:color="auto" w:fill="FFFFFF"/>
              <w:jc w:val="center"/>
            </w:pPr>
            <w:r>
              <w:t>x</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pPr>
          </w:p>
        </w:tc>
      </w:tr>
      <w:tr w:rsidR="00A067C9" w:rsidRPr="00A067C9">
        <w:trPr>
          <w:trHeight w:hRule="exact" w:val="1591"/>
        </w:trPr>
        <w:tc>
          <w:tcPr>
            <w:tcW w:w="3593" w:type="dxa"/>
            <w:tcBorders>
              <w:top w:val="single" w:sz="6" w:space="0" w:color="auto"/>
              <w:left w:val="single" w:sz="6" w:space="0" w:color="auto"/>
              <w:bottom w:val="single" w:sz="6" w:space="0" w:color="auto"/>
              <w:right w:val="single" w:sz="6" w:space="0" w:color="auto"/>
            </w:tcBorders>
            <w:shd w:val="clear" w:color="auto" w:fill="FFFFFF"/>
          </w:tcPr>
          <w:p w:rsidR="00323DA2" w:rsidRDefault="00A067C9">
            <w:pPr>
              <w:shd w:val="clear" w:color="auto" w:fill="FFFFFF"/>
              <w:spacing w:line="245" w:lineRule="exact"/>
              <w:ind w:right="50"/>
              <w:rPr>
                <w:color w:val="000000"/>
                <w:spacing w:val="4"/>
              </w:rPr>
            </w:pPr>
            <w:r w:rsidRPr="00A067C9">
              <w:rPr>
                <w:color w:val="000000"/>
                <w:spacing w:val="4"/>
              </w:rPr>
              <w:t>3, Soci</w:t>
            </w:r>
            <w:r>
              <w:rPr>
                <w:color w:val="000000"/>
                <w:spacing w:val="4"/>
              </w:rPr>
              <w:t xml:space="preserve">álne vplyvy </w:t>
            </w:r>
            <w:r>
              <w:rPr>
                <w:color w:val="000000"/>
                <w:spacing w:val="9"/>
              </w:rPr>
              <w:t xml:space="preserve">- vplyvy na hospodárenie </w:t>
            </w:r>
            <w:r>
              <w:rPr>
                <w:color w:val="000000"/>
                <w:spacing w:val="4"/>
              </w:rPr>
              <w:t xml:space="preserve">obyvateľstva, </w:t>
            </w:r>
          </w:p>
          <w:p w:rsidR="00323DA2" w:rsidRDefault="00A067C9">
            <w:pPr>
              <w:shd w:val="clear" w:color="auto" w:fill="FFFFFF"/>
              <w:spacing w:line="245" w:lineRule="exact"/>
              <w:ind w:right="50"/>
              <w:rPr>
                <w:color w:val="000000"/>
                <w:spacing w:val="4"/>
              </w:rPr>
            </w:pPr>
            <w:r>
              <w:rPr>
                <w:color w:val="000000"/>
                <w:spacing w:val="4"/>
              </w:rPr>
              <w:t xml:space="preserve">-sociálnu </w:t>
            </w:r>
            <w:proofErr w:type="spellStart"/>
            <w:r>
              <w:rPr>
                <w:color w:val="000000"/>
                <w:spacing w:val="4"/>
              </w:rPr>
              <w:t>exklúziu</w:t>
            </w:r>
            <w:proofErr w:type="spellEnd"/>
            <w:r w:rsidR="00323DA2">
              <w:rPr>
                <w:color w:val="000000"/>
                <w:spacing w:val="4"/>
              </w:rPr>
              <w:t>,</w:t>
            </w:r>
          </w:p>
          <w:p w:rsidR="00A067C9" w:rsidRPr="00A067C9" w:rsidRDefault="00A067C9" w:rsidP="00323DA2">
            <w:pPr>
              <w:shd w:val="clear" w:color="auto" w:fill="FFFFFF"/>
              <w:spacing w:line="245" w:lineRule="exact"/>
              <w:ind w:right="50"/>
            </w:pPr>
            <w:r>
              <w:rPr>
                <w:color w:val="000000"/>
                <w:spacing w:val="4"/>
              </w:rPr>
              <w:t xml:space="preserve"> - rovnosť príleži</w:t>
            </w:r>
            <w:r w:rsidR="00323DA2">
              <w:rPr>
                <w:color w:val="000000"/>
                <w:spacing w:val="4"/>
              </w:rPr>
              <w:t>t</w:t>
            </w:r>
            <w:r>
              <w:rPr>
                <w:color w:val="000000"/>
                <w:spacing w:val="4"/>
              </w:rPr>
              <w:t xml:space="preserve">osti a rodovú rovnosť </w:t>
            </w:r>
            <w:r>
              <w:rPr>
                <w:color w:val="000000"/>
                <w:spacing w:val="5"/>
              </w:rPr>
              <w:t>a vplyvy na zamestnanosť</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637861" w:rsidP="00637861">
            <w:pPr>
              <w:shd w:val="clear" w:color="auto" w:fill="FFFFFF"/>
              <w:jc w:val="center"/>
            </w:pPr>
            <w:r>
              <w:t>x</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pPr>
          </w:p>
        </w:tc>
      </w:tr>
      <w:tr w:rsidR="00A067C9" w:rsidRPr="00A067C9">
        <w:trPr>
          <w:trHeight w:hRule="exact" w:val="389"/>
        </w:trPr>
        <w:tc>
          <w:tcPr>
            <w:tcW w:w="3593"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ind w:left="7"/>
            </w:pPr>
            <w:r w:rsidRPr="00A067C9">
              <w:rPr>
                <w:color w:val="000000"/>
                <w:spacing w:val="3"/>
              </w:rPr>
              <w:t xml:space="preserve">4. Vplyvy na </w:t>
            </w:r>
            <w:r>
              <w:rPr>
                <w:color w:val="000000"/>
                <w:spacing w:val="3"/>
              </w:rPr>
              <w:t>životné prostredie</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pP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637861" w:rsidP="00637861">
            <w:pPr>
              <w:shd w:val="clear" w:color="auto" w:fill="FFFFFF"/>
              <w:jc w:val="center"/>
            </w:pPr>
            <w:r>
              <w:t>x</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pPr>
          </w:p>
        </w:tc>
      </w:tr>
      <w:tr w:rsidR="00A067C9" w:rsidRPr="00A067C9">
        <w:trPr>
          <w:trHeight w:hRule="exact" w:val="634"/>
        </w:trPr>
        <w:tc>
          <w:tcPr>
            <w:tcW w:w="3593"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spacing w:line="245" w:lineRule="exact"/>
              <w:ind w:left="7" w:right="994" w:firstLine="7"/>
            </w:pPr>
            <w:r w:rsidRPr="00A067C9">
              <w:rPr>
                <w:color w:val="000000"/>
                <w:spacing w:val="3"/>
              </w:rPr>
              <w:t>5. Vplyvy na informatiz</w:t>
            </w:r>
            <w:r>
              <w:rPr>
                <w:color w:val="000000"/>
                <w:spacing w:val="3"/>
              </w:rPr>
              <w:t xml:space="preserve">áciu </w:t>
            </w:r>
            <w:r w:rsidR="00323DA2">
              <w:rPr>
                <w:color w:val="000000"/>
                <w:spacing w:val="4"/>
              </w:rPr>
              <w:t>spol</w:t>
            </w:r>
            <w:r>
              <w:rPr>
                <w:color w:val="000000"/>
                <w:spacing w:val="4"/>
              </w:rPr>
              <w:t>očnosti</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637861" w:rsidP="00637861">
            <w:pPr>
              <w:shd w:val="clear" w:color="auto" w:fill="FFFFFF"/>
              <w:jc w:val="center"/>
            </w:pPr>
            <w:r>
              <w:t>x</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067C9" w:rsidRPr="00A067C9" w:rsidRDefault="00A067C9">
            <w:pPr>
              <w:shd w:val="clear" w:color="auto" w:fill="FFFFFF"/>
            </w:pPr>
          </w:p>
        </w:tc>
      </w:tr>
    </w:tbl>
    <w:p w:rsidR="00A067C9" w:rsidRPr="00323DA2" w:rsidRDefault="00A067C9">
      <w:pPr>
        <w:shd w:val="clear" w:color="auto" w:fill="FFFFFF"/>
        <w:spacing w:before="972"/>
        <w:ind w:left="108"/>
      </w:pPr>
      <w:r w:rsidRPr="00323DA2">
        <w:rPr>
          <w:b/>
          <w:bCs/>
          <w:spacing w:val="-2"/>
          <w:sz w:val="24"/>
          <w:szCs w:val="24"/>
        </w:rPr>
        <w:t>A3. Poznámky</w:t>
      </w:r>
    </w:p>
    <w:p w:rsidR="00A067C9" w:rsidRDefault="00A067C9">
      <w:pPr>
        <w:shd w:val="clear" w:color="auto" w:fill="FFFFFF"/>
        <w:spacing w:before="792"/>
        <w:ind w:left="115"/>
      </w:pPr>
      <w:r>
        <w:rPr>
          <w:b/>
          <w:bCs/>
          <w:color w:val="000000"/>
          <w:spacing w:val="-6"/>
          <w:sz w:val="24"/>
          <w:szCs w:val="24"/>
        </w:rPr>
        <w:t>A.4. Alternatívne riešenia</w:t>
      </w:r>
    </w:p>
    <w:p w:rsidR="00A067C9" w:rsidRDefault="00A067C9">
      <w:pPr>
        <w:shd w:val="clear" w:color="auto" w:fill="FFFFFF"/>
        <w:spacing w:before="792"/>
        <w:ind w:left="108"/>
      </w:pPr>
      <w:r>
        <w:rPr>
          <w:b/>
          <w:bCs/>
          <w:color w:val="000000"/>
          <w:spacing w:val="-6"/>
          <w:sz w:val="24"/>
          <w:szCs w:val="24"/>
        </w:rPr>
        <w:t>A.5. Stanovisko gestorov</w:t>
      </w:r>
    </w:p>
    <w:p w:rsidR="00A067C9" w:rsidRDefault="00A067C9" w:rsidP="00637861">
      <w:pPr>
        <w:shd w:val="clear" w:color="auto" w:fill="FFFFFF"/>
        <w:ind w:left="7762"/>
      </w:pPr>
    </w:p>
    <w:p w:rsidR="00865DDA" w:rsidRDefault="00865DDA" w:rsidP="00637861">
      <w:pPr>
        <w:shd w:val="clear" w:color="auto" w:fill="FFFFFF"/>
        <w:ind w:left="7762"/>
      </w:pPr>
    </w:p>
    <w:p w:rsidR="00865DDA" w:rsidRDefault="00865DDA" w:rsidP="00637861">
      <w:pPr>
        <w:shd w:val="clear" w:color="auto" w:fill="FFFFFF"/>
        <w:ind w:left="7762"/>
      </w:pPr>
    </w:p>
    <w:p w:rsidR="00865DDA" w:rsidRDefault="00865DDA" w:rsidP="00637861">
      <w:pPr>
        <w:shd w:val="clear" w:color="auto" w:fill="FFFFFF"/>
        <w:ind w:left="7762"/>
      </w:pPr>
    </w:p>
    <w:p w:rsidR="00865DDA" w:rsidRDefault="00865DDA" w:rsidP="00865DDA">
      <w:pPr>
        <w:jc w:val="center"/>
      </w:pPr>
      <w:bookmarkStart w:id="0" w:name="_GoBack"/>
      <w:bookmarkEnd w:id="0"/>
      <w:r w:rsidRPr="004161A1">
        <w:rPr>
          <w:b/>
          <w:bCs/>
          <w:sz w:val="28"/>
          <w:szCs w:val="28"/>
        </w:rPr>
        <w:lastRenderedPageBreak/>
        <w:t>Vplyvy na rozpočet verejnej správy,</w:t>
      </w:r>
    </w:p>
    <w:p w:rsidR="00865DDA" w:rsidRDefault="00865DDA" w:rsidP="00865DDA">
      <w:pPr>
        <w:jc w:val="center"/>
      </w:pPr>
      <w:r w:rsidRPr="004161A1">
        <w:rPr>
          <w:b/>
          <w:bCs/>
          <w:sz w:val="28"/>
          <w:szCs w:val="28"/>
        </w:rPr>
        <w:t>na zamestnanosť vo verejnej správe a financovanie návrhu</w:t>
      </w:r>
    </w:p>
    <w:p w:rsidR="00865DDA" w:rsidRDefault="00865DDA" w:rsidP="00865DDA">
      <w:r>
        <w:t> </w:t>
      </w:r>
    </w:p>
    <w:p w:rsidR="00865DDA" w:rsidRDefault="00865DDA" w:rsidP="00865DDA">
      <w:r w:rsidRPr="004161A1">
        <w:rPr>
          <w:b/>
          <w:bCs/>
        </w:rPr>
        <w:t>2.1. Zhrnutie vplyvov na rozpočet verejnej správy v návrhu</w:t>
      </w:r>
    </w:p>
    <w:p w:rsidR="00865DDA" w:rsidRDefault="00865DDA" w:rsidP="00865DDA">
      <w:pPr>
        <w:jc w:val="right"/>
      </w:pPr>
      <w:r w:rsidRPr="004161A1">
        <w:t xml:space="preserve">Tabuľka č. 1 </w:t>
      </w:r>
    </w:p>
    <w:tbl>
      <w:tblPr>
        <w:tblW w:w="9729" w:type="dxa"/>
        <w:tblCellMar>
          <w:left w:w="0" w:type="dxa"/>
          <w:right w:w="0" w:type="dxa"/>
        </w:tblCellMar>
        <w:tblLook w:val="0000" w:firstRow="0" w:lastRow="0" w:firstColumn="0" w:lastColumn="0" w:noHBand="0" w:noVBand="0"/>
      </w:tblPr>
      <w:tblGrid>
        <w:gridCol w:w="4661"/>
        <w:gridCol w:w="1267"/>
        <w:gridCol w:w="1267"/>
        <w:gridCol w:w="1267"/>
        <w:gridCol w:w="1267"/>
      </w:tblGrid>
      <w:tr w:rsidR="00865DDA" w:rsidRPr="004161A1" w:rsidTr="00B60A1F">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194" w:lineRule="atLeast"/>
              <w:jc w:val="center"/>
            </w:pPr>
            <w:bookmarkStart w:id="1" w:name="OLE_LINK1"/>
            <w:bookmarkEnd w:id="1"/>
            <w:r w:rsidRPr="004161A1">
              <w:rPr>
                <w:b/>
                <w:bCs/>
                <w:color w:val="FFFFFF"/>
              </w:rPr>
              <w:t xml:space="preserve">Vplyvy na </w:t>
            </w:r>
            <w:r w:rsidRPr="004161A1">
              <w:rPr>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194" w:lineRule="atLeast"/>
              <w:jc w:val="center"/>
            </w:pPr>
            <w:r w:rsidRPr="004161A1">
              <w:rPr>
                <w:b/>
                <w:bCs/>
                <w:color w:val="FFFFFF"/>
              </w:rPr>
              <w:t xml:space="preserve">Vplyv na rozpočet verejnej správy </w:t>
            </w:r>
            <w:r w:rsidRPr="004161A1">
              <w:rPr>
                <w:b/>
                <w:bCs/>
              </w:rPr>
              <w:t>(v eurách)</w:t>
            </w:r>
          </w:p>
        </w:tc>
      </w:tr>
      <w:tr w:rsidR="00865DDA" w:rsidRPr="004161A1" w:rsidTr="00B60A1F">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tcPr>
          <w:p w:rsidR="00865DDA" w:rsidRPr="004161A1" w:rsidRDefault="00865DDA" w:rsidP="00B60A1F"/>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70" w:lineRule="atLeast"/>
              <w:jc w:val="center"/>
            </w:pPr>
            <w:r w:rsidRPr="004161A1">
              <w:rPr>
                <w:b/>
                <w:bCs/>
                <w:color w:val="FFFFFF"/>
              </w:rPr>
              <w:t>r</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70" w:lineRule="atLeast"/>
              <w:jc w:val="center"/>
            </w:pPr>
            <w:r w:rsidRPr="004161A1">
              <w:rPr>
                <w:b/>
                <w:bCs/>
                <w:color w:val="FFFFFF"/>
              </w:rPr>
              <w:t>r + 1</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70" w:lineRule="atLeast"/>
              <w:jc w:val="center"/>
            </w:pPr>
            <w:r w:rsidRPr="004161A1">
              <w:rPr>
                <w:b/>
                <w:bCs/>
                <w:color w:val="FFFFFF"/>
              </w:rPr>
              <w:t>r + 2</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70" w:lineRule="atLeast"/>
              <w:jc w:val="center"/>
            </w:pPr>
            <w:r w:rsidRPr="004161A1">
              <w:rPr>
                <w:b/>
                <w:bCs/>
                <w:color w:val="FFFFFF"/>
              </w:rPr>
              <w:t>r + 3</w:t>
            </w:r>
          </w:p>
        </w:tc>
      </w:tr>
      <w:tr w:rsidR="00865DDA" w:rsidRPr="004161A1" w:rsidTr="00B60A1F">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4161A1" w:rsidRDefault="00865DDA" w:rsidP="00B60A1F">
            <w:pPr>
              <w:spacing w:line="70" w:lineRule="atLeast"/>
            </w:pPr>
            <w:r w:rsidRPr="004161A1">
              <w:rPr>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4161A1" w:rsidRDefault="00865DDA" w:rsidP="00B60A1F">
            <w:pPr>
              <w:spacing w:line="70" w:lineRule="atLeast"/>
              <w:jc w:val="right"/>
            </w:pPr>
            <w:r w:rsidRPr="004161A1">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3 884 475 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3 884 475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3 884 475  </w:t>
            </w:r>
          </w:p>
        </w:tc>
      </w:tr>
      <w:tr w:rsidR="00865DDA" w:rsidRPr="004161A1" w:rsidTr="00B60A1F">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32" w:lineRule="atLeast"/>
            </w:pPr>
            <w: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32"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3 884 475 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3 884 475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3 884 475  </w:t>
            </w:r>
          </w:p>
        </w:tc>
      </w:tr>
      <w:tr w:rsidR="00865DDA" w:rsidRPr="004161A1" w:rsidTr="00B60A1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pPr>
            <w:r w:rsidRPr="004161A1">
              <w:rPr>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4161A1">
              <w:rPr>
                <w:b/>
                <w:bCs/>
                <w:i/>
                <w:iCs/>
              </w:rPr>
              <w:t> </w:t>
            </w:r>
          </w:p>
        </w:tc>
      </w:tr>
      <w:tr w:rsidR="00865DDA" w:rsidRPr="004161A1" w:rsidTr="00B60A1F">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25" w:lineRule="atLeast"/>
            </w:pPr>
            <w:r w:rsidRPr="004161A1">
              <w:rPr>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3 884 475 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3 884 475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3 884 475  </w:t>
            </w:r>
          </w:p>
        </w:tc>
      </w:tr>
      <w:tr w:rsidR="00865DDA" w:rsidRPr="004161A1" w:rsidTr="00B60A1F">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25" w:lineRule="atLeast"/>
            </w:pPr>
            <w:r w:rsidRPr="004161A1">
              <w:rPr>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125" w:lineRule="atLeast"/>
              <w:jc w:val="right"/>
            </w:pPr>
            <w:r w:rsidRPr="006C121A">
              <w:rPr>
                <w:b/>
                <w:bCs/>
                <w:iCs/>
              </w:rPr>
              <w:t>0</w:t>
            </w:r>
          </w:p>
        </w:tc>
      </w:tr>
      <w:tr w:rsidR="00865DDA" w:rsidRPr="004161A1" w:rsidTr="00B60A1F">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4161A1" w:rsidRDefault="00865DDA" w:rsidP="00B60A1F">
            <w:pPr>
              <w:spacing w:line="125" w:lineRule="atLeast"/>
            </w:pPr>
            <w:r w:rsidRPr="004161A1">
              <w:rPr>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6C121A" w:rsidRDefault="00865DDA" w:rsidP="00B60A1F">
            <w:pPr>
              <w:spacing w:line="125" w:lineRule="atLeast"/>
              <w:jc w:val="right"/>
            </w:pPr>
            <w:r w:rsidRPr="006C121A">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6C121A" w:rsidRDefault="00865DDA" w:rsidP="00B60A1F">
            <w:pPr>
              <w:spacing w:line="125" w:lineRule="atLeast"/>
              <w:jc w:val="right"/>
            </w:pPr>
            <w:r w:rsidRPr="003D6565">
              <w:rPr>
                <w:b/>
                <w:bCs/>
              </w:rPr>
              <w:t>1 333 799 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1 246 719 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sz w:val="20"/>
                <w:szCs w:val="20"/>
              </w:rPr>
            </w:pPr>
            <w:r w:rsidRPr="003D6565">
              <w:rPr>
                <w:b/>
                <w:bCs/>
                <w:sz w:val="20"/>
                <w:szCs w:val="20"/>
              </w:rPr>
              <w:t>1 333 799 </w:t>
            </w:r>
          </w:p>
        </w:tc>
      </w:tr>
      <w:tr w:rsidR="00865DDA" w:rsidRPr="004161A1" w:rsidTr="00B60A1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pPr>
            <w: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3D6565">
              <w:rPr>
                <w:b/>
                <w:bCs/>
              </w:rPr>
              <w:t>1 333 799 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rPr>
                <w:b/>
                <w:bCs/>
                <w:sz w:val="20"/>
                <w:szCs w:val="20"/>
              </w:rPr>
            </w:pPr>
          </w:p>
          <w:p w:rsidR="00865DDA" w:rsidRDefault="00865DDA" w:rsidP="00B60A1F">
            <w:pPr>
              <w:pStyle w:val="Normlnywebov"/>
              <w:spacing w:before="0" w:beforeAutospacing="0" w:after="0" w:afterAutospacing="0"/>
              <w:jc w:val="center"/>
            </w:pPr>
            <w:r>
              <w:rPr>
                <w:b/>
                <w:bCs/>
                <w:sz w:val="20"/>
                <w:szCs w:val="20"/>
              </w:rPr>
              <w:t>1 246 719 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sz w:val="20"/>
                <w:szCs w:val="20"/>
              </w:rPr>
            </w:pPr>
            <w:r w:rsidRPr="003D6565">
              <w:rPr>
                <w:b/>
                <w:bCs/>
                <w:sz w:val="20"/>
                <w:szCs w:val="20"/>
              </w:rPr>
              <w:t>1 333 799 </w:t>
            </w:r>
          </w:p>
        </w:tc>
      </w:tr>
      <w:tr w:rsidR="00865DDA" w:rsidRPr="004161A1" w:rsidTr="00B60A1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pPr>
            <w:r w:rsidRPr="004161A1">
              <w:rPr>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4161A1">
              <w:rPr>
                <w:b/>
                <w:bCs/>
                <w:i/>
                <w:iCs/>
              </w:rPr>
              <w:t> </w:t>
            </w:r>
          </w:p>
        </w:tc>
      </w:tr>
      <w:tr w:rsidR="00865DDA" w:rsidRPr="004161A1" w:rsidTr="00B60A1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pPr>
            <w:r w:rsidRPr="004161A1">
              <w:rPr>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70"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3D6565">
              <w:rPr>
                <w:b/>
                <w:bCs/>
              </w:rPr>
              <w:t>1 333 799 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rPr>
                <w:b/>
                <w:bCs/>
                <w:sz w:val="20"/>
                <w:szCs w:val="20"/>
              </w:rPr>
            </w:pPr>
          </w:p>
          <w:p w:rsidR="00865DDA" w:rsidRDefault="00865DDA" w:rsidP="00B60A1F">
            <w:pPr>
              <w:pStyle w:val="Normlnywebov"/>
              <w:spacing w:before="0" w:beforeAutospacing="0" w:after="0" w:afterAutospacing="0"/>
              <w:jc w:val="center"/>
            </w:pPr>
            <w:r>
              <w:rPr>
                <w:b/>
                <w:bCs/>
                <w:sz w:val="20"/>
                <w:szCs w:val="20"/>
              </w:rPr>
              <w:t>1 246 719 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sz w:val="20"/>
                <w:szCs w:val="20"/>
              </w:rPr>
            </w:pPr>
            <w:r w:rsidRPr="003D6565">
              <w:rPr>
                <w:b/>
                <w:bCs/>
                <w:sz w:val="20"/>
                <w:szCs w:val="20"/>
              </w:rPr>
              <w:t>1 333 799 </w:t>
            </w:r>
          </w:p>
        </w:tc>
      </w:tr>
      <w:tr w:rsidR="00865DDA" w:rsidRPr="004161A1" w:rsidTr="00B60A1F">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25" w:lineRule="atLeast"/>
            </w:pPr>
            <w:r w:rsidRPr="004161A1">
              <w:rPr>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125" w:lineRule="atLeast"/>
              <w:jc w:val="right"/>
            </w:pPr>
            <w:r w:rsidRPr="006C121A">
              <w:rPr>
                <w:b/>
                <w:bCs/>
                <w:iCs/>
              </w:rPr>
              <w:t>0</w:t>
            </w:r>
          </w:p>
        </w:tc>
      </w:tr>
      <w:tr w:rsidR="00865DDA" w:rsidRPr="004161A1" w:rsidTr="00B60A1F">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4161A1" w:rsidRDefault="00865DDA" w:rsidP="00B60A1F">
            <w:pPr>
              <w:spacing w:line="70" w:lineRule="atLeast"/>
            </w:pPr>
            <w:r w:rsidRPr="004161A1">
              <w:rPr>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6C121A" w:rsidRDefault="00865DDA" w:rsidP="00B60A1F">
            <w:pPr>
              <w:spacing w:line="70" w:lineRule="atLeast"/>
              <w:jc w:val="right"/>
            </w:pPr>
            <w:r w:rsidRPr="006C121A">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6C121A" w:rsidRDefault="00865DDA" w:rsidP="00B60A1F">
            <w:pPr>
              <w:spacing w:line="70" w:lineRule="atLeast"/>
              <w:ind w:left="720"/>
              <w:jc w:val="center"/>
            </w:pPr>
            <w:r>
              <w:t>98</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6C121A" w:rsidRDefault="00865DDA" w:rsidP="00B60A1F">
            <w:pPr>
              <w:spacing w:line="70" w:lineRule="atLeast"/>
              <w:ind w:left="720"/>
              <w:jc w:val="center"/>
            </w:pPr>
            <w:r>
              <w:rPr>
                <w:b/>
                <w:bCs/>
              </w:rPr>
              <w:t>98</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6C121A" w:rsidRDefault="00865DDA" w:rsidP="00B60A1F">
            <w:pPr>
              <w:spacing w:line="70" w:lineRule="atLeast"/>
              <w:jc w:val="right"/>
            </w:pPr>
            <w:r>
              <w:t>98</w:t>
            </w:r>
          </w:p>
        </w:tc>
      </w:tr>
      <w:tr w:rsidR="00865DDA" w:rsidRPr="004161A1" w:rsidTr="00B60A1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pPr>
            <w:r w:rsidRPr="004161A1">
              <w:rPr>
                <w:b/>
                <w:bCs/>
                <w:i/>
                <w:iCs/>
              </w:rPr>
              <w:t>- z toho vplyv na ŠR</w:t>
            </w:r>
            <w: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70" w:lineRule="atLeast"/>
              <w:jc w:val="right"/>
            </w:pPr>
            <w:r w:rsidRPr="006C121A">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70" w:lineRule="atLeast"/>
              <w:jc w:val="right"/>
            </w:pPr>
            <w:r>
              <w:t>98</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70" w:lineRule="atLeast"/>
              <w:jc w:val="right"/>
            </w:pPr>
            <w:r>
              <w:t>98</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70" w:lineRule="atLeast"/>
              <w:jc w:val="right"/>
            </w:pPr>
            <w:r>
              <w:t>98</w:t>
            </w:r>
          </w:p>
        </w:tc>
      </w:tr>
      <w:tr w:rsidR="00865DDA" w:rsidRPr="004161A1" w:rsidTr="00B60A1F">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4161A1" w:rsidRDefault="00865DDA" w:rsidP="00B60A1F">
            <w:pPr>
              <w:spacing w:line="70" w:lineRule="atLeast"/>
            </w:pPr>
            <w:r w:rsidRPr="004161A1">
              <w:rPr>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6C121A" w:rsidRDefault="00865DDA" w:rsidP="00B60A1F">
            <w:pPr>
              <w:spacing w:line="70" w:lineRule="atLeast"/>
              <w:jc w:val="right"/>
            </w:pPr>
            <w:r w:rsidRPr="006C121A">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6C121A" w:rsidRDefault="00865DDA" w:rsidP="00B60A1F">
            <w:pPr>
              <w:spacing w:line="70" w:lineRule="atLeast"/>
              <w:jc w:val="right"/>
            </w:pPr>
            <w:r w:rsidRPr="006C121A">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6C121A" w:rsidRDefault="00865DDA" w:rsidP="00B60A1F">
            <w:pPr>
              <w:spacing w:line="70" w:lineRule="atLeast"/>
              <w:jc w:val="right"/>
            </w:pPr>
            <w:r w:rsidRPr="006C121A">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865DDA" w:rsidRPr="006C121A" w:rsidRDefault="00865DDA" w:rsidP="00B60A1F">
            <w:pPr>
              <w:spacing w:line="70" w:lineRule="atLeast"/>
              <w:jc w:val="right"/>
            </w:pPr>
            <w:r w:rsidRPr="006C121A">
              <w:rPr>
                <w:b/>
                <w:bCs/>
              </w:rPr>
              <w:t>0</w:t>
            </w:r>
          </w:p>
        </w:tc>
      </w:tr>
      <w:tr w:rsidR="00865DDA" w:rsidRPr="004161A1" w:rsidTr="00B60A1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pPr>
            <w: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70" w:lineRule="atLeast"/>
              <w:jc w:val="right"/>
            </w:pPr>
            <w:r w:rsidRPr="006C121A">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70" w:lineRule="atLeast"/>
              <w:jc w:val="right"/>
            </w:pPr>
            <w:r w:rsidRPr="006C121A">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70" w:lineRule="atLeast"/>
              <w:jc w:val="right"/>
            </w:pPr>
            <w:r w:rsidRPr="006C121A">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6C121A" w:rsidRDefault="00865DDA" w:rsidP="00B60A1F">
            <w:pPr>
              <w:spacing w:line="70" w:lineRule="atLeast"/>
              <w:jc w:val="right"/>
            </w:pPr>
            <w:r w:rsidRPr="006C121A">
              <w:t>0</w:t>
            </w:r>
          </w:p>
        </w:tc>
      </w:tr>
      <w:tr w:rsidR="00865DDA" w:rsidRPr="004161A1" w:rsidTr="00B60A1F">
        <w:tc>
          <w:tcPr>
            <w:tcW w:w="4661" w:type="dxa"/>
            <w:tcBorders>
              <w:top w:val="nil"/>
              <w:left w:val="nil"/>
              <w:bottom w:val="nil"/>
              <w:right w:val="nil"/>
            </w:tcBorders>
            <w:vAlign w:val="center"/>
          </w:tcPr>
          <w:p w:rsidR="00865DDA" w:rsidRPr="004161A1" w:rsidRDefault="00865DDA" w:rsidP="00B60A1F">
            <w:pPr>
              <w:rPr>
                <w:sz w:val="2"/>
              </w:rPr>
            </w:pPr>
          </w:p>
        </w:tc>
        <w:tc>
          <w:tcPr>
            <w:tcW w:w="1267" w:type="dxa"/>
            <w:tcBorders>
              <w:top w:val="nil"/>
              <w:left w:val="nil"/>
              <w:bottom w:val="nil"/>
              <w:right w:val="nil"/>
            </w:tcBorders>
            <w:vAlign w:val="center"/>
          </w:tcPr>
          <w:p w:rsidR="00865DDA" w:rsidRPr="004161A1" w:rsidRDefault="00865DDA" w:rsidP="00B60A1F">
            <w:pPr>
              <w:rPr>
                <w:sz w:val="2"/>
              </w:rPr>
            </w:pPr>
          </w:p>
        </w:tc>
        <w:tc>
          <w:tcPr>
            <w:tcW w:w="1267" w:type="dxa"/>
            <w:tcBorders>
              <w:top w:val="nil"/>
              <w:left w:val="nil"/>
              <w:bottom w:val="nil"/>
              <w:right w:val="nil"/>
            </w:tcBorders>
            <w:vAlign w:val="center"/>
          </w:tcPr>
          <w:p w:rsidR="00865DDA" w:rsidRPr="004161A1" w:rsidRDefault="00865DDA" w:rsidP="00B60A1F">
            <w:pPr>
              <w:rPr>
                <w:sz w:val="2"/>
              </w:rPr>
            </w:pPr>
          </w:p>
        </w:tc>
        <w:tc>
          <w:tcPr>
            <w:tcW w:w="1267" w:type="dxa"/>
            <w:tcBorders>
              <w:top w:val="nil"/>
              <w:left w:val="nil"/>
              <w:bottom w:val="nil"/>
              <w:right w:val="nil"/>
            </w:tcBorders>
            <w:vAlign w:val="center"/>
          </w:tcPr>
          <w:p w:rsidR="00865DDA" w:rsidRPr="004161A1" w:rsidRDefault="00865DDA" w:rsidP="00B60A1F">
            <w:pPr>
              <w:rPr>
                <w:sz w:val="2"/>
              </w:rPr>
            </w:pPr>
          </w:p>
        </w:tc>
        <w:tc>
          <w:tcPr>
            <w:tcW w:w="1267" w:type="dxa"/>
            <w:tcBorders>
              <w:top w:val="nil"/>
              <w:left w:val="nil"/>
              <w:bottom w:val="nil"/>
              <w:right w:val="nil"/>
            </w:tcBorders>
            <w:vAlign w:val="center"/>
          </w:tcPr>
          <w:p w:rsidR="00865DDA" w:rsidRPr="004161A1" w:rsidRDefault="00865DDA" w:rsidP="00B60A1F">
            <w:pPr>
              <w:rPr>
                <w:sz w:val="2"/>
              </w:rPr>
            </w:pPr>
          </w:p>
        </w:tc>
      </w:tr>
    </w:tbl>
    <w:p w:rsidR="00865DDA" w:rsidRDefault="00865DDA" w:rsidP="00865DDA">
      <w:r>
        <w:t> </w:t>
      </w:r>
    </w:p>
    <w:p w:rsidR="00865DDA" w:rsidRDefault="00865DDA" w:rsidP="00865DDA">
      <w:r w:rsidRPr="004161A1">
        <w:rPr>
          <w:b/>
          <w:bCs/>
        </w:rPr>
        <w:t>2.2. Financovanie návrhu</w:t>
      </w:r>
    </w:p>
    <w:p w:rsidR="00865DDA" w:rsidRDefault="00865DDA" w:rsidP="00865DDA">
      <w:pPr>
        <w:jc w:val="right"/>
      </w:pPr>
      <w:r w:rsidRPr="004161A1">
        <w:t>Tabuľka č. 2</w:t>
      </w:r>
    </w:p>
    <w:tbl>
      <w:tblPr>
        <w:tblW w:w="9360" w:type="dxa"/>
        <w:tblCellMar>
          <w:left w:w="0" w:type="dxa"/>
          <w:right w:w="0" w:type="dxa"/>
        </w:tblCellMar>
        <w:tblLook w:val="0000" w:firstRow="0" w:lastRow="0" w:firstColumn="0" w:lastColumn="0" w:noHBand="0" w:noVBand="0"/>
      </w:tblPr>
      <w:tblGrid>
        <w:gridCol w:w="4304"/>
        <w:gridCol w:w="869"/>
        <w:gridCol w:w="1659"/>
        <w:gridCol w:w="1264"/>
        <w:gridCol w:w="1264"/>
      </w:tblGrid>
      <w:tr w:rsidR="00865DDA" w:rsidRPr="004161A1" w:rsidTr="00B60A1F">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70" w:lineRule="atLeast"/>
              <w:jc w:val="center"/>
            </w:pPr>
            <w:r w:rsidRPr="004161A1">
              <w:rPr>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70" w:lineRule="atLeast"/>
              <w:jc w:val="center"/>
            </w:pPr>
            <w:r w:rsidRPr="004161A1">
              <w:rPr>
                <w:b/>
                <w:bCs/>
                <w:color w:val="FFFFFF"/>
              </w:rPr>
              <w:t xml:space="preserve">Vplyv na rozpočet verejnej správy </w:t>
            </w:r>
            <w:r w:rsidRPr="004161A1">
              <w:rPr>
                <w:b/>
                <w:bCs/>
              </w:rPr>
              <w:t>(v eurách)</w:t>
            </w:r>
          </w:p>
        </w:tc>
      </w:tr>
      <w:tr w:rsidR="00865DDA" w:rsidRPr="004161A1" w:rsidTr="00B60A1F">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tcPr>
          <w:p w:rsidR="00865DDA" w:rsidRPr="004161A1" w:rsidRDefault="00865DDA" w:rsidP="00B60A1F"/>
        </w:tc>
        <w:tc>
          <w:tcPr>
            <w:tcW w:w="86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70" w:lineRule="atLeast"/>
              <w:jc w:val="center"/>
            </w:pPr>
            <w:r w:rsidRPr="004161A1">
              <w:rPr>
                <w:b/>
                <w:bCs/>
                <w:color w:val="FFFFFF"/>
              </w:rPr>
              <w:t>r</w:t>
            </w:r>
          </w:p>
        </w:tc>
        <w:tc>
          <w:tcPr>
            <w:tcW w:w="165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70" w:lineRule="atLeast"/>
              <w:jc w:val="center"/>
            </w:pPr>
            <w:r w:rsidRPr="004161A1">
              <w:rPr>
                <w:b/>
                <w:bCs/>
                <w:color w:val="FFFFFF"/>
              </w:rPr>
              <w:t>r + 1</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70" w:lineRule="atLeast"/>
              <w:jc w:val="center"/>
            </w:pPr>
            <w:r w:rsidRPr="004161A1">
              <w:rPr>
                <w:b/>
                <w:bCs/>
                <w:color w:val="FFFFFF"/>
              </w:rPr>
              <w:t>r + 2</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Pr="004161A1" w:rsidRDefault="00865DDA" w:rsidP="00B60A1F">
            <w:pPr>
              <w:spacing w:line="70" w:lineRule="atLeast"/>
              <w:jc w:val="center"/>
            </w:pPr>
            <w:r w:rsidRPr="004161A1">
              <w:rPr>
                <w:b/>
                <w:bCs/>
                <w:color w:val="FFFFFF"/>
              </w:rPr>
              <w:t>r + 3</w:t>
            </w:r>
          </w:p>
        </w:tc>
      </w:tr>
      <w:tr w:rsidR="00865DDA" w:rsidRPr="004161A1" w:rsidTr="00B60A1F">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pPr>
            <w:r w:rsidRPr="004161A1">
              <w:rPr>
                <w:b/>
                <w:bCs/>
              </w:rPr>
              <w:t>Celkový vplyv na rozpočet verejnej správy ( - príjmy, + výdavky)</w:t>
            </w: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4161A1">
              <w:rPr>
                <w:b/>
                <w:bCs/>
              </w:rPr>
              <w:t>0</w:t>
            </w:r>
          </w:p>
        </w:tc>
        <w:tc>
          <w:tcPr>
            <w:tcW w:w="16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Pr>
                <w:b/>
                <w:bCs/>
              </w:rPr>
              <w:t>2 55</w:t>
            </w:r>
            <w:r w:rsidRPr="004161A1">
              <w:rPr>
                <w:b/>
                <w:bCs/>
              </w:rPr>
              <w:t>0</w:t>
            </w:r>
            <w:r>
              <w:rPr>
                <w:b/>
                <w:bCs/>
              </w:rPr>
              <w:t xml:space="preserve"> 676</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5B6F2A" w:rsidRDefault="00865DDA" w:rsidP="00B60A1F">
            <w:pPr>
              <w:spacing w:line="70" w:lineRule="atLeast"/>
              <w:jc w:val="right"/>
              <w:rPr>
                <w:b/>
              </w:rPr>
            </w:pPr>
            <w:r w:rsidRPr="005B6F2A">
              <w:rPr>
                <w:b/>
              </w:rPr>
              <w:t>2 637 756</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Pr>
                <w:b/>
                <w:bCs/>
              </w:rPr>
              <w:t>2 55</w:t>
            </w:r>
            <w:r w:rsidRPr="004161A1">
              <w:rPr>
                <w:b/>
                <w:bCs/>
              </w:rPr>
              <w:t>0</w:t>
            </w:r>
            <w:r>
              <w:rPr>
                <w:b/>
                <w:bCs/>
              </w:rPr>
              <w:t xml:space="preserve"> 676</w:t>
            </w:r>
          </w:p>
        </w:tc>
      </w:tr>
      <w:tr w:rsidR="00865DDA" w:rsidRPr="004161A1" w:rsidTr="00B60A1F">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pPr>
            <w:r>
              <w:t>  z toho vplyv na ŠR</w:t>
            </w: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t>0</w:t>
            </w:r>
          </w:p>
        </w:tc>
        <w:tc>
          <w:tcPr>
            <w:tcW w:w="16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Pr>
                <w:b/>
                <w:bCs/>
              </w:rPr>
              <w:t>2 55</w:t>
            </w:r>
            <w:r w:rsidRPr="004161A1">
              <w:rPr>
                <w:b/>
                <w:bCs/>
              </w:rPr>
              <w:t>0</w:t>
            </w:r>
            <w:r>
              <w:rPr>
                <w:b/>
                <w:bCs/>
              </w:rPr>
              <w:t xml:space="preserve"> 676</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5B6F2A" w:rsidRDefault="00865DDA" w:rsidP="00B60A1F">
            <w:pPr>
              <w:spacing w:line="70" w:lineRule="atLeast"/>
              <w:jc w:val="right"/>
              <w:rPr>
                <w:b/>
              </w:rPr>
            </w:pPr>
            <w:r w:rsidRPr="005B6F2A">
              <w:rPr>
                <w:b/>
              </w:rPr>
              <w:t>2 637 756</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Pr>
                <w:b/>
                <w:bCs/>
              </w:rPr>
              <w:t>2 55</w:t>
            </w:r>
            <w:r w:rsidRPr="004161A1">
              <w:rPr>
                <w:b/>
                <w:bCs/>
              </w:rPr>
              <w:t>0</w:t>
            </w:r>
            <w:r>
              <w:rPr>
                <w:b/>
                <w:bCs/>
              </w:rPr>
              <w:t xml:space="preserve"> 676</w:t>
            </w:r>
          </w:p>
        </w:tc>
      </w:tr>
      <w:tr w:rsidR="00865DDA" w:rsidRPr="004161A1" w:rsidTr="00B60A1F">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51" w:lineRule="atLeast"/>
            </w:pPr>
            <w:r>
              <w:t>  financovanie zabezpečené v rozpočte</w:t>
            </w: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51" w:lineRule="atLeast"/>
              <w:jc w:val="right"/>
            </w:pPr>
            <w:r>
              <w:t>0</w:t>
            </w:r>
          </w:p>
        </w:tc>
        <w:tc>
          <w:tcPr>
            <w:tcW w:w="16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51"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51"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51" w:lineRule="atLeast"/>
              <w:jc w:val="right"/>
            </w:pPr>
            <w:r>
              <w:t>0</w:t>
            </w:r>
          </w:p>
        </w:tc>
      </w:tr>
      <w:tr w:rsidR="00865DDA" w:rsidRPr="004161A1" w:rsidTr="00B60A1F">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35" w:lineRule="atLeast"/>
            </w:pPr>
            <w:r>
              <w:t>  ostatné zdroje financovania</w:t>
            </w: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35" w:lineRule="atLeast"/>
              <w:jc w:val="right"/>
            </w:pPr>
            <w:r>
              <w:t>0</w:t>
            </w:r>
          </w:p>
        </w:tc>
        <w:tc>
          <w:tcPr>
            <w:tcW w:w="16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35"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35"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135" w:lineRule="atLeast"/>
              <w:jc w:val="right"/>
            </w:pPr>
            <w:r>
              <w:t>0</w:t>
            </w:r>
          </w:p>
        </w:tc>
      </w:tr>
      <w:tr w:rsidR="00865DDA" w:rsidRPr="004161A1" w:rsidTr="00B60A1F">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pPr>
            <w:r w:rsidRPr="004161A1">
              <w:rPr>
                <w:b/>
                <w:bCs/>
              </w:rPr>
              <w:t>Rozpočtovo nekrytý vplyv / úspora</w:t>
            </w: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Pr="004161A1" w:rsidRDefault="00865DDA" w:rsidP="00B60A1F">
            <w:pPr>
              <w:spacing w:line="70" w:lineRule="atLeast"/>
              <w:jc w:val="right"/>
            </w:pPr>
            <w:r w:rsidRPr="004161A1">
              <w:rPr>
                <w:b/>
                <w:bCs/>
              </w:rPr>
              <w:t>0</w:t>
            </w:r>
          </w:p>
        </w:tc>
        <w:tc>
          <w:tcPr>
            <w:tcW w:w="16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ind w:left="-181"/>
              <w:jc w:val="center"/>
            </w:pPr>
            <w:r>
              <w:rPr>
                <w:b/>
                <w:bCs/>
                <w:sz w:val="20"/>
                <w:szCs w:val="20"/>
              </w:rPr>
              <w:t xml:space="preserve">    1 333 799*</w:t>
            </w:r>
            <w:r>
              <w:rPr>
                <w:b/>
                <w:bCs/>
                <w:color w:val="FFFFFF"/>
                <w:sz w:val="20"/>
                <w:szCs w:val="20"/>
              </w:rPr>
              <w:t>3 7199 </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1 246 719 *</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sz w:val="20"/>
                <w:szCs w:val="20"/>
              </w:rPr>
            </w:pPr>
            <w:r w:rsidRPr="003D6565">
              <w:rPr>
                <w:b/>
                <w:bCs/>
                <w:sz w:val="20"/>
                <w:szCs w:val="20"/>
              </w:rPr>
              <w:t>1 333 799 </w:t>
            </w:r>
            <w:r>
              <w:rPr>
                <w:b/>
                <w:bCs/>
                <w:sz w:val="20"/>
                <w:szCs w:val="20"/>
              </w:rPr>
              <w:t>*</w:t>
            </w:r>
          </w:p>
        </w:tc>
      </w:tr>
      <w:tr w:rsidR="00865DDA" w:rsidRPr="004161A1" w:rsidTr="00B60A1F">
        <w:tc>
          <w:tcPr>
            <w:tcW w:w="4304" w:type="dxa"/>
            <w:tcBorders>
              <w:top w:val="nil"/>
              <w:left w:val="nil"/>
              <w:bottom w:val="nil"/>
              <w:right w:val="nil"/>
            </w:tcBorders>
            <w:vAlign w:val="center"/>
          </w:tcPr>
          <w:p w:rsidR="00865DDA" w:rsidRPr="004161A1" w:rsidRDefault="00865DDA" w:rsidP="00B60A1F">
            <w:pPr>
              <w:rPr>
                <w:sz w:val="2"/>
              </w:rPr>
            </w:pPr>
          </w:p>
        </w:tc>
        <w:tc>
          <w:tcPr>
            <w:tcW w:w="869" w:type="dxa"/>
            <w:tcBorders>
              <w:top w:val="nil"/>
              <w:left w:val="nil"/>
              <w:bottom w:val="nil"/>
              <w:right w:val="nil"/>
            </w:tcBorders>
            <w:vAlign w:val="center"/>
          </w:tcPr>
          <w:p w:rsidR="00865DDA" w:rsidRPr="004161A1" w:rsidRDefault="00865DDA" w:rsidP="00B60A1F">
            <w:pPr>
              <w:rPr>
                <w:sz w:val="2"/>
              </w:rPr>
            </w:pPr>
          </w:p>
        </w:tc>
        <w:tc>
          <w:tcPr>
            <w:tcW w:w="1659" w:type="dxa"/>
            <w:tcBorders>
              <w:top w:val="nil"/>
              <w:left w:val="nil"/>
              <w:bottom w:val="nil"/>
              <w:right w:val="nil"/>
            </w:tcBorders>
            <w:vAlign w:val="center"/>
          </w:tcPr>
          <w:p w:rsidR="00865DDA" w:rsidRPr="004161A1" w:rsidRDefault="00865DDA" w:rsidP="00B60A1F">
            <w:pPr>
              <w:rPr>
                <w:sz w:val="2"/>
              </w:rPr>
            </w:pPr>
          </w:p>
        </w:tc>
        <w:tc>
          <w:tcPr>
            <w:tcW w:w="1264" w:type="dxa"/>
            <w:tcBorders>
              <w:top w:val="nil"/>
              <w:left w:val="nil"/>
              <w:bottom w:val="nil"/>
              <w:right w:val="nil"/>
            </w:tcBorders>
            <w:vAlign w:val="center"/>
          </w:tcPr>
          <w:p w:rsidR="00865DDA" w:rsidRPr="004161A1" w:rsidRDefault="00865DDA" w:rsidP="00B60A1F">
            <w:pPr>
              <w:rPr>
                <w:sz w:val="2"/>
              </w:rPr>
            </w:pPr>
          </w:p>
        </w:tc>
        <w:tc>
          <w:tcPr>
            <w:tcW w:w="1264" w:type="dxa"/>
            <w:tcBorders>
              <w:top w:val="nil"/>
              <w:left w:val="nil"/>
              <w:bottom w:val="nil"/>
              <w:right w:val="nil"/>
            </w:tcBorders>
            <w:vAlign w:val="center"/>
          </w:tcPr>
          <w:p w:rsidR="00865DDA" w:rsidRPr="004161A1" w:rsidRDefault="00865DDA" w:rsidP="00B60A1F">
            <w:pPr>
              <w:rPr>
                <w:sz w:val="2"/>
              </w:rPr>
            </w:pPr>
          </w:p>
        </w:tc>
      </w:tr>
    </w:tbl>
    <w:p w:rsidR="00865DDA" w:rsidRDefault="00865DDA" w:rsidP="00865DDA">
      <w:r>
        <w:t> </w:t>
      </w:r>
    </w:p>
    <w:p w:rsidR="00865DDA" w:rsidRDefault="00865DDA" w:rsidP="00865DDA">
      <w:r w:rsidRPr="004161A1">
        <w:rPr>
          <w:b/>
          <w:bCs/>
        </w:rPr>
        <w:t> </w:t>
      </w:r>
    </w:p>
    <w:p w:rsidR="00865DDA" w:rsidRDefault="00865DDA" w:rsidP="00865DDA">
      <w:r w:rsidRPr="004161A1">
        <w:rPr>
          <w:b/>
          <w:bCs/>
        </w:rPr>
        <w:t>Návrh na riešenie úbytku príjmov alebo zvýšených výdavkov podľa § 33 ods. 1 zákona č. 523/2004 Z. z. o rozpočtových pravidlách verejnej správy:</w:t>
      </w:r>
    </w:p>
    <w:p w:rsidR="00865DDA" w:rsidRDefault="00865DDA" w:rsidP="00865DDA">
      <w:pPr>
        <w:pBdr>
          <w:top w:val="single" w:sz="4" w:space="1" w:color="000000"/>
          <w:left w:val="single" w:sz="4" w:space="4" w:color="000000"/>
          <w:bottom w:val="single" w:sz="4" w:space="1" w:color="000000"/>
          <w:right w:val="single" w:sz="4" w:space="4" w:color="000000"/>
        </w:pBdr>
        <w:jc w:val="both"/>
      </w:pPr>
      <w:r w:rsidRPr="004161A1">
        <w:rPr>
          <w:b/>
          <w:bCs/>
        </w:rPr>
        <w:t> </w:t>
      </w:r>
      <w:r>
        <w:rPr>
          <w:b/>
          <w:bCs/>
        </w:rPr>
        <w:t>* z pohľadu kapitoly ÚGKK SR predstavuje rozpočtovo nekrytý vplyv čiastku, o ktorú bude nevyhnutné navýšiť limity výdavkov kapitoly sumy uvedené v tabuľke v jednotlivých rokoch.</w:t>
      </w:r>
    </w:p>
    <w:p w:rsidR="00865DDA" w:rsidRDefault="00865DDA" w:rsidP="00865DDA">
      <w:pPr>
        <w:pBdr>
          <w:top w:val="single" w:sz="4" w:space="1" w:color="000000"/>
          <w:left w:val="single" w:sz="4" w:space="4" w:color="000000"/>
          <w:bottom w:val="single" w:sz="4" w:space="1" w:color="000000"/>
          <w:right w:val="single" w:sz="4" w:space="4" w:color="000000"/>
        </w:pBdr>
        <w:jc w:val="both"/>
      </w:pPr>
      <w:r w:rsidRPr="004161A1">
        <w:rPr>
          <w:b/>
          <w:bCs/>
        </w:rPr>
        <w:t> </w:t>
      </w:r>
      <w:r>
        <w:rPr>
          <w:b/>
          <w:bCs/>
        </w:rPr>
        <w:t>Celkovo novela katastrálneho zákona bude mať pozitívny vplyv na štátny rozpočet prostredníctvom nárastu príjmov štátneho rozpočtu vo forme správnych poplatkov vyberaných  vo forme kolkových známok, resp. vyberaných v hotovosti, ktoré však nie sú príjmom kapitoly ÚGKK v zmysle zákona o správnych poplatkoch.</w:t>
      </w:r>
      <w:r w:rsidRPr="004161A1">
        <w:rPr>
          <w:b/>
          <w:bCs/>
        </w:rPr>
        <w:t> </w:t>
      </w:r>
    </w:p>
    <w:p w:rsidR="00865DDA" w:rsidRDefault="00865DDA" w:rsidP="00865DDA">
      <w:pPr>
        <w:rPr>
          <w:b/>
          <w:bCs/>
        </w:rPr>
      </w:pPr>
    </w:p>
    <w:p w:rsidR="00865DDA" w:rsidRDefault="00865DDA" w:rsidP="00865DDA">
      <w:pPr>
        <w:rPr>
          <w:b/>
          <w:bCs/>
        </w:rPr>
      </w:pPr>
    </w:p>
    <w:p w:rsidR="00865DDA" w:rsidRDefault="00865DDA" w:rsidP="00865DDA">
      <w:r w:rsidRPr="004161A1">
        <w:rPr>
          <w:b/>
          <w:bCs/>
        </w:rPr>
        <w:t>2.3. Popis a charakteristika návrhu</w:t>
      </w:r>
    </w:p>
    <w:p w:rsidR="00865DDA" w:rsidRDefault="00865DDA" w:rsidP="00865DDA">
      <w:r>
        <w:t> </w:t>
      </w:r>
    </w:p>
    <w:p w:rsidR="00865DDA" w:rsidRPr="00314C7F" w:rsidRDefault="00865DDA" w:rsidP="00865DDA">
      <w:pPr>
        <w:jc w:val="both"/>
      </w:pPr>
      <w:r w:rsidRPr="00314C7F">
        <w:rPr>
          <w:b/>
          <w:bCs/>
        </w:rPr>
        <w:t>2.3.1. Popis návrhu:</w:t>
      </w:r>
    </w:p>
    <w:p w:rsidR="00865DDA" w:rsidRPr="00314C7F" w:rsidRDefault="00865DDA" w:rsidP="00865DDA">
      <w:pPr>
        <w:jc w:val="both"/>
      </w:pPr>
      <w:r w:rsidRPr="00314C7F">
        <w:rPr>
          <w:b/>
          <w:bCs/>
        </w:rPr>
        <w:t> </w:t>
      </w:r>
    </w:p>
    <w:p w:rsidR="00865DDA" w:rsidRPr="00314C7F" w:rsidRDefault="00865DDA" w:rsidP="00865DDA">
      <w:pPr>
        <w:ind w:firstLine="708"/>
        <w:jc w:val="both"/>
      </w:pPr>
      <w:r w:rsidRPr="00314C7F">
        <w:t>Akú problematiku návrhu rieši? Kto bude návrh implementovať? Kde sa budú služby poskytovať?</w:t>
      </w:r>
    </w:p>
    <w:p w:rsidR="00865DDA" w:rsidRPr="00314C7F" w:rsidRDefault="00865DDA" w:rsidP="00865DDA">
      <w:r w:rsidRPr="00314C7F">
        <w:t> </w:t>
      </w:r>
    </w:p>
    <w:p w:rsidR="00865DDA" w:rsidRDefault="00865DDA" w:rsidP="00865DDA">
      <w:pPr>
        <w:jc w:val="both"/>
      </w:pPr>
      <w:r>
        <w:t xml:space="preserve">Návrh zákona o katastri nehnuteľností predstavuje novú právnu úpravu v oblasti katastra nehnuteľnosti, ktorá je </w:t>
      </w:r>
      <w:r>
        <w:lastRenderedPageBreak/>
        <w:t>nevyhnutná z hľadiska vývoja a praxe v tejto oblasti, na ktorú súčasná právna úprave adekvátne nepostačuje. Ďalším dôvodom novej právnej úpravy v oblasti katastra je aj realizácia spoločenskej požiadavky informatizácie spoločnosti a na to nadväzujúci projekt OPIS – Elektronické služby katastra nehnuteľnosti, ktorý realizuje ÚGKK SR. Návrh z hľadiska vecnej príslušnosti bude implementovať ÚGKK SR. Služby bude realizovať ÚGKK SR prostredníctvom orgánov miestnej štátnej správy, t.j. správ katastra, svojich rozpočtových alebo príspevkových organizácii. Nové služby bude môcť verejnosť využívať aj prostredníctvom na to oprávnených osôb majúcich štatút integrovaného obslužného miesta podľa zákona č. 275/2006 Z. z o informačných systémoch verejnej správy v znení neskorších predpisov. Zároveň sa mení a dopĺňa zákon č. 145/1995 Z. z. o správnych poplatkoch v znení neskorších predpisov.</w:t>
      </w:r>
    </w:p>
    <w:p w:rsidR="00865DDA" w:rsidRDefault="00865DDA" w:rsidP="00865DDA">
      <w:pPr>
        <w:jc w:val="both"/>
      </w:pPr>
      <w:r>
        <w:t xml:space="preserve">       </w:t>
      </w:r>
    </w:p>
    <w:p w:rsidR="00865DDA" w:rsidRDefault="00865DDA" w:rsidP="00865DDA">
      <w:r w:rsidRPr="004161A1">
        <w:rPr>
          <w:b/>
          <w:bCs/>
        </w:rPr>
        <w:t>2.3.2. Charakteristika návrhu podľa bodu  2.3.2. Metodiky :</w:t>
      </w:r>
    </w:p>
    <w:p w:rsidR="00865DDA" w:rsidRDefault="00865DDA" w:rsidP="00865DDA">
      <w:r>
        <w:t> </w:t>
      </w:r>
    </w:p>
    <w:p w:rsidR="00865DDA" w:rsidRDefault="00865DDA" w:rsidP="00865DDA">
      <w:r w:rsidRPr="004161A1">
        <w:rPr>
          <w:b/>
          <w:bCs/>
          <w:bdr w:val="single" w:sz="4" w:space="0" w:color="000000" w:frame="1"/>
        </w:rPr>
        <w:t>   </w:t>
      </w:r>
      <w:r>
        <w:rPr>
          <w:b/>
          <w:bCs/>
          <w:bdr w:val="single" w:sz="4" w:space="0" w:color="000000" w:frame="1"/>
        </w:rPr>
        <w:t>X</w:t>
      </w:r>
      <w:r w:rsidRPr="004161A1">
        <w:rPr>
          <w:b/>
          <w:bCs/>
          <w:bdr w:val="single" w:sz="4" w:space="0" w:color="000000" w:frame="1"/>
        </w:rPr>
        <w:t xml:space="preserve">  </w:t>
      </w:r>
      <w:r w:rsidRPr="004161A1">
        <w:rPr>
          <w:b/>
          <w:bCs/>
        </w:rPr>
        <w:t xml:space="preserve">  </w:t>
      </w:r>
      <w:r>
        <w:t>zmena sadzby</w:t>
      </w:r>
    </w:p>
    <w:p w:rsidR="00865DDA" w:rsidRDefault="00865DDA" w:rsidP="00865DDA">
      <w:r>
        <w:rPr>
          <w:bdr w:val="single" w:sz="4" w:space="0" w:color="000000" w:frame="1"/>
        </w:rPr>
        <w:t xml:space="preserve">     </w:t>
      </w:r>
      <w:r>
        <w:t>  zmena v nároku</w:t>
      </w:r>
    </w:p>
    <w:p w:rsidR="00865DDA" w:rsidRDefault="00865DDA" w:rsidP="00865DDA">
      <w:r>
        <w:rPr>
          <w:bdr w:val="single" w:sz="4" w:space="0" w:color="000000" w:frame="1"/>
        </w:rPr>
        <w:t xml:space="preserve">    X </w:t>
      </w:r>
      <w:r>
        <w:t>  nová služba alebo nariadenie (alebo ich zrušenie)</w:t>
      </w:r>
    </w:p>
    <w:p w:rsidR="00865DDA" w:rsidRDefault="00865DDA" w:rsidP="00865DDA">
      <w:r>
        <w:rPr>
          <w:bdr w:val="single" w:sz="4" w:space="0" w:color="000000" w:frame="1"/>
        </w:rPr>
        <w:t xml:space="preserve">     </w:t>
      </w:r>
      <w:r>
        <w:t>  kombinovaný návrh</w:t>
      </w:r>
    </w:p>
    <w:p w:rsidR="00865DDA" w:rsidRDefault="00865DDA" w:rsidP="00865DDA">
      <w:r>
        <w:rPr>
          <w:bdr w:val="single" w:sz="4" w:space="0" w:color="000000" w:frame="1"/>
        </w:rPr>
        <w:t xml:space="preserve"> X    </w:t>
      </w:r>
      <w:r>
        <w:t xml:space="preserve">  iné </w:t>
      </w:r>
    </w:p>
    <w:p w:rsidR="00865DDA" w:rsidRDefault="00865DDA" w:rsidP="00865DDA">
      <w:r>
        <w:t> </w:t>
      </w:r>
    </w:p>
    <w:p w:rsidR="00865DDA" w:rsidRDefault="00865DDA" w:rsidP="00865DDA">
      <w:r>
        <w:t> </w:t>
      </w:r>
    </w:p>
    <w:p w:rsidR="00865DDA" w:rsidRDefault="00865DDA" w:rsidP="00865DDA">
      <w:r w:rsidRPr="004161A1">
        <w:rPr>
          <w:b/>
          <w:bCs/>
        </w:rPr>
        <w:t>2.3.3. Predpoklady vývoja objemu aktivít:</w:t>
      </w:r>
    </w:p>
    <w:p w:rsidR="00865DDA" w:rsidRDefault="00865DDA" w:rsidP="00865DDA">
      <w:r>
        <w:t> </w:t>
      </w:r>
    </w:p>
    <w:p w:rsidR="00865DDA" w:rsidRDefault="00865DDA" w:rsidP="00865DDA">
      <w:pPr>
        <w:ind w:firstLine="708"/>
        <w:jc w:val="both"/>
      </w:pPr>
      <w:r>
        <w:t>Jasne popíšte, v prípade potreby použite nižšie uvedenú tabuľku. Uveďte aj odhady základov daní a/alebo poplatkov, ak sa ich táto zmena týka.</w:t>
      </w:r>
    </w:p>
    <w:p w:rsidR="00865DDA" w:rsidRDefault="00865DDA" w:rsidP="00865DDA">
      <w:pPr>
        <w:jc w:val="right"/>
      </w:pPr>
      <w:r w:rsidRPr="004161A1">
        <w:t xml:space="preserve">Tabuľka č. 3 </w:t>
      </w:r>
    </w:p>
    <w:tbl>
      <w:tblPr>
        <w:tblW w:w="0" w:type="auto"/>
        <w:tblCellMar>
          <w:left w:w="0" w:type="dxa"/>
          <w:right w:w="0" w:type="dxa"/>
        </w:tblCellMar>
        <w:tblLook w:val="0000" w:firstRow="0" w:lastRow="0" w:firstColumn="0" w:lastColumn="0" w:noHBand="0" w:noVBand="0"/>
      </w:tblPr>
      <w:tblGrid>
        <w:gridCol w:w="4530"/>
        <w:gridCol w:w="1134"/>
        <w:gridCol w:w="1134"/>
        <w:gridCol w:w="1134"/>
        <w:gridCol w:w="1134"/>
      </w:tblGrid>
      <w:tr w:rsidR="00865DDA" w:rsidRPr="004161A1" w:rsidTr="00B60A1F">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865DDA" w:rsidRPr="004161A1" w:rsidRDefault="00865DDA" w:rsidP="00B60A1F">
            <w:pPr>
              <w:spacing w:line="70" w:lineRule="atLeast"/>
              <w:jc w:val="center"/>
            </w:pPr>
            <w:r w:rsidRPr="004161A1">
              <w:rPr>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865DDA" w:rsidRPr="004161A1" w:rsidRDefault="00865DDA" w:rsidP="00B60A1F">
            <w:pPr>
              <w:spacing w:line="70" w:lineRule="atLeast"/>
              <w:jc w:val="center"/>
            </w:pPr>
            <w:r w:rsidRPr="004161A1">
              <w:rPr>
                <w:b/>
                <w:bCs/>
                <w:color w:val="FFFFFF"/>
              </w:rPr>
              <w:t>Odhadované objemy</w:t>
            </w:r>
          </w:p>
        </w:tc>
      </w:tr>
      <w:tr w:rsidR="00865DDA" w:rsidRPr="004161A1" w:rsidTr="00B60A1F">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tcPr>
          <w:p w:rsidR="00865DDA" w:rsidRPr="004161A1" w:rsidRDefault="00865DDA" w:rsidP="00B60A1F"/>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865DDA" w:rsidRPr="004161A1" w:rsidRDefault="00865DDA" w:rsidP="00B60A1F">
            <w:pPr>
              <w:spacing w:line="70" w:lineRule="atLeast"/>
              <w:jc w:val="center"/>
            </w:pPr>
            <w:r w:rsidRPr="004161A1">
              <w:rPr>
                <w:b/>
                <w:bCs/>
                <w:color w:val="FFFFFF"/>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865DDA" w:rsidRPr="004161A1" w:rsidRDefault="00865DDA" w:rsidP="00B60A1F">
            <w:pPr>
              <w:spacing w:line="70" w:lineRule="atLeast"/>
              <w:jc w:val="center"/>
            </w:pPr>
            <w:r w:rsidRPr="004161A1">
              <w:rPr>
                <w:b/>
                <w:bCs/>
                <w:color w:val="FFFFFF"/>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865DDA" w:rsidRPr="004161A1" w:rsidRDefault="00865DDA" w:rsidP="00B60A1F">
            <w:pPr>
              <w:spacing w:line="70" w:lineRule="atLeast"/>
              <w:jc w:val="center"/>
            </w:pPr>
            <w:r w:rsidRPr="004161A1">
              <w:rPr>
                <w:b/>
                <w:bCs/>
                <w:color w:val="FFFFFF"/>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865DDA" w:rsidRPr="004161A1" w:rsidRDefault="00865DDA" w:rsidP="00B60A1F">
            <w:pPr>
              <w:spacing w:line="70" w:lineRule="atLeast"/>
              <w:jc w:val="center"/>
            </w:pPr>
            <w:r w:rsidRPr="004161A1">
              <w:rPr>
                <w:b/>
                <w:bCs/>
                <w:color w:val="FFFFFF"/>
              </w:rPr>
              <w:t>r + 3</w:t>
            </w:r>
          </w:p>
        </w:tc>
      </w:tr>
      <w:tr w:rsidR="00865DDA" w:rsidRPr="004161A1" w:rsidTr="00B60A1F">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pPr>
            <w:r w:rsidRPr="004161A1">
              <w:rPr>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r>
      <w:tr w:rsidR="00865DDA" w:rsidRPr="004161A1" w:rsidTr="00B60A1F">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pPr>
            <w:r w:rsidRPr="004161A1">
              <w:rPr>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r>
      <w:tr w:rsidR="00865DDA" w:rsidRPr="004161A1" w:rsidTr="00B60A1F">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pPr>
            <w:r w:rsidRPr="004161A1">
              <w:rPr>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DDA" w:rsidRPr="004161A1" w:rsidRDefault="00865DDA" w:rsidP="00B60A1F">
            <w:pPr>
              <w:spacing w:line="70" w:lineRule="atLeast"/>
              <w:jc w:val="right"/>
            </w:pPr>
            <w:r w:rsidRPr="004161A1">
              <w:rPr>
                <w:color w:val="000000"/>
              </w:rPr>
              <w:t> </w:t>
            </w:r>
          </w:p>
        </w:tc>
      </w:tr>
      <w:tr w:rsidR="00865DDA" w:rsidRPr="004161A1" w:rsidTr="00B60A1F">
        <w:tc>
          <w:tcPr>
            <w:tcW w:w="4530" w:type="dxa"/>
            <w:tcBorders>
              <w:top w:val="nil"/>
              <w:left w:val="nil"/>
              <w:bottom w:val="nil"/>
              <w:right w:val="nil"/>
            </w:tcBorders>
            <w:vAlign w:val="center"/>
          </w:tcPr>
          <w:p w:rsidR="00865DDA" w:rsidRPr="004161A1" w:rsidRDefault="00865DDA" w:rsidP="00B60A1F">
            <w:pPr>
              <w:rPr>
                <w:sz w:val="2"/>
              </w:rPr>
            </w:pPr>
          </w:p>
        </w:tc>
        <w:tc>
          <w:tcPr>
            <w:tcW w:w="1134" w:type="dxa"/>
            <w:tcBorders>
              <w:top w:val="nil"/>
              <w:left w:val="nil"/>
              <w:bottom w:val="nil"/>
              <w:right w:val="nil"/>
            </w:tcBorders>
            <w:vAlign w:val="center"/>
          </w:tcPr>
          <w:p w:rsidR="00865DDA" w:rsidRPr="004161A1" w:rsidRDefault="00865DDA" w:rsidP="00B60A1F">
            <w:pPr>
              <w:rPr>
                <w:sz w:val="2"/>
              </w:rPr>
            </w:pPr>
          </w:p>
        </w:tc>
        <w:tc>
          <w:tcPr>
            <w:tcW w:w="1134" w:type="dxa"/>
            <w:tcBorders>
              <w:top w:val="nil"/>
              <w:left w:val="nil"/>
              <w:bottom w:val="nil"/>
              <w:right w:val="nil"/>
            </w:tcBorders>
            <w:vAlign w:val="center"/>
          </w:tcPr>
          <w:p w:rsidR="00865DDA" w:rsidRPr="004161A1" w:rsidRDefault="00865DDA" w:rsidP="00B60A1F">
            <w:pPr>
              <w:rPr>
                <w:sz w:val="2"/>
              </w:rPr>
            </w:pPr>
          </w:p>
        </w:tc>
        <w:tc>
          <w:tcPr>
            <w:tcW w:w="1134" w:type="dxa"/>
            <w:tcBorders>
              <w:top w:val="nil"/>
              <w:left w:val="nil"/>
              <w:bottom w:val="nil"/>
              <w:right w:val="nil"/>
            </w:tcBorders>
            <w:vAlign w:val="center"/>
          </w:tcPr>
          <w:p w:rsidR="00865DDA" w:rsidRPr="004161A1" w:rsidRDefault="00865DDA" w:rsidP="00B60A1F">
            <w:pPr>
              <w:rPr>
                <w:sz w:val="2"/>
              </w:rPr>
            </w:pPr>
          </w:p>
        </w:tc>
        <w:tc>
          <w:tcPr>
            <w:tcW w:w="1134" w:type="dxa"/>
            <w:tcBorders>
              <w:top w:val="nil"/>
              <w:left w:val="nil"/>
              <w:bottom w:val="nil"/>
              <w:right w:val="nil"/>
            </w:tcBorders>
            <w:vAlign w:val="center"/>
          </w:tcPr>
          <w:p w:rsidR="00865DDA" w:rsidRPr="004161A1" w:rsidRDefault="00865DDA" w:rsidP="00B60A1F">
            <w:pPr>
              <w:rPr>
                <w:sz w:val="2"/>
              </w:rPr>
            </w:pPr>
          </w:p>
        </w:tc>
      </w:tr>
    </w:tbl>
    <w:p w:rsidR="00865DDA" w:rsidRDefault="00865DDA" w:rsidP="00865DDA">
      <w:r>
        <w:t> </w:t>
      </w:r>
    </w:p>
    <w:p w:rsidR="00865DDA" w:rsidRDefault="00865DDA" w:rsidP="00865DDA">
      <w:r>
        <w:t> </w:t>
      </w:r>
    </w:p>
    <w:p w:rsidR="00865DDA" w:rsidRDefault="00865DDA" w:rsidP="00865DDA">
      <w:r w:rsidRPr="004161A1">
        <w:rPr>
          <w:b/>
          <w:bCs/>
        </w:rPr>
        <w:t>2.3.4. Výpočty vplyvov na verejné financie</w:t>
      </w:r>
    </w:p>
    <w:p w:rsidR="00865DDA" w:rsidRDefault="00865DDA" w:rsidP="00865DDA">
      <w:r>
        <w:t> </w:t>
      </w:r>
    </w:p>
    <w:p w:rsidR="00865DDA" w:rsidRDefault="00865DDA" w:rsidP="00865DDA">
      <w:pPr>
        <w:ind w:firstLine="708"/>
        <w:jc w:val="both"/>
      </w:pPr>
      <w: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865DDA" w:rsidRDefault="00865DDA" w:rsidP="00865DDA">
      <w:pPr>
        <w:jc w:val="both"/>
      </w:pPr>
      <w:r>
        <w:t> </w:t>
      </w:r>
    </w:p>
    <w:p w:rsidR="00865DDA" w:rsidRPr="000E07EB" w:rsidRDefault="00865DDA" w:rsidP="00865DDA">
      <w:pPr>
        <w:jc w:val="center"/>
        <w:rPr>
          <w:b/>
          <w:sz w:val="28"/>
          <w:szCs w:val="28"/>
        </w:rPr>
      </w:pPr>
      <w:r>
        <w:t> </w:t>
      </w:r>
      <w:r w:rsidRPr="000E07EB">
        <w:rPr>
          <w:b/>
          <w:sz w:val="28"/>
          <w:szCs w:val="28"/>
        </w:rPr>
        <w:t>Kvantifikácia vplyvu na rozpočet k doložke vplyvov novelizovaného katastrálneho</w:t>
      </w:r>
      <w:r>
        <w:rPr>
          <w:b/>
          <w:sz w:val="28"/>
          <w:szCs w:val="28"/>
        </w:rPr>
        <w:t xml:space="preserve"> </w:t>
      </w:r>
      <w:r w:rsidRPr="000E07EB">
        <w:rPr>
          <w:b/>
          <w:sz w:val="28"/>
          <w:szCs w:val="28"/>
        </w:rPr>
        <w:t>zákona</w:t>
      </w:r>
    </w:p>
    <w:p w:rsidR="00865DDA" w:rsidRDefault="00865DDA" w:rsidP="00865DDA"/>
    <w:p w:rsidR="00865DDA" w:rsidRPr="00551D27" w:rsidRDefault="00865DDA" w:rsidP="00865DDA">
      <w:pPr>
        <w:pStyle w:val="Odsekzoznamu"/>
        <w:numPr>
          <w:ilvl w:val="0"/>
          <w:numId w:val="1"/>
        </w:numPr>
        <w:jc w:val="both"/>
      </w:pPr>
      <w:r>
        <w:t>K § 5 písm. d) bod 6  - nájomné práva k nehnuteľnostiam.</w:t>
      </w:r>
    </w:p>
    <w:p w:rsidR="00865DDA" w:rsidRDefault="00865DDA" w:rsidP="00865DDA">
      <w:pPr>
        <w:ind w:left="720"/>
        <w:jc w:val="both"/>
        <w:rPr>
          <w:i/>
        </w:rPr>
      </w:pPr>
      <w:r>
        <w:rPr>
          <w:i/>
        </w:rPr>
        <w:t xml:space="preserve">Predpokladá sa nárast výkonov pri zápise nájomných práv k bytom a nebytovým priestorom. </w:t>
      </w:r>
    </w:p>
    <w:p w:rsidR="00865DDA" w:rsidRDefault="00865DDA" w:rsidP="00865DDA">
      <w:pPr>
        <w:ind w:left="720"/>
        <w:jc w:val="both"/>
        <w:rPr>
          <w:i/>
        </w:rPr>
      </w:pPr>
    </w:p>
    <w:p w:rsidR="00865DDA" w:rsidRPr="00320591" w:rsidRDefault="00865DDA" w:rsidP="00865DDA">
      <w:pPr>
        <w:pStyle w:val="Odsekzoznamu"/>
        <w:numPr>
          <w:ilvl w:val="0"/>
          <w:numId w:val="2"/>
        </w:numPr>
        <w:jc w:val="both"/>
        <w:rPr>
          <w:i/>
        </w:rPr>
      </w:pPr>
      <w:r w:rsidRPr="008F2D51">
        <w:rPr>
          <w:i/>
        </w:rPr>
        <w:t xml:space="preserve">V SR je evidovaných 1 173 662 bytových priestorov. Na základe odborného </w:t>
      </w:r>
      <w:r w:rsidRPr="00320591">
        <w:rPr>
          <w:i/>
        </w:rPr>
        <w:t>odhadu predpokladáme 10 % prenájmov bytových priestorov, čo predstavuje 117 366  zapisovaných nájomných  zmlúv.</w:t>
      </w:r>
    </w:p>
    <w:p w:rsidR="00865DDA" w:rsidRPr="00320591" w:rsidRDefault="00865DDA" w:rsidP="00865DDA">
      <w:pPr>
        <w:pStyle w:val="Odsekzoznamu"/>
        <w:numPr>
          <w:ilvl w:val="0"/>
          <w:numId w:val="2"/>
        </w:numPr>
        <w:jc w:val="both"/>
        <w:rPr>
          <w:i/>
        </w:rPr>
      </w:pPr>
      <w:r w:rsidRPr="00320591">
        <w:rPr>
          <w:i/>
        </w:rPr>
        <w:t xml:space="preserve">V zmysle Metodiky na určenie počtu a výkonnosti zamestnancov (Pokyny č. P – 3949/2009) </w:t>
      </w:r>
      <w:r w:rsidRPr="00320591">
        <w:rPr>
          <w:b/>
          <w:i/>
        </w:rPr>
        <w:t>norma pri zápisoch na 1 zamestnanca a rok je 1 200 listín.</w:t>
      </w:r>
    </w:p>
    <w:p w:rsidR="00865DDA" w:rsidRPr="00320591" w:rsidRDefault="00865DDA" w:rsidP="00865DDA">
      <w:pPr>
        <w:ind w:left="1440"/>
        <w:jc w:val="both"/>
        <w:rPr>
          <w:b/>
          <w:i/>
        </w:rPr>
      </w:pPr>
      <w:r w:rsidRPr="00320591">
        <w:rPr>
          <w:i/>
        </w:rPr>
        <w:t xml:space="preserve">117 366 zmlúv : 1200 listín = </w:t>
      </w:r>
      <w:r w:rsidRPr="00320591">
        <w:rPr>
          <w:i/>
          <w:u w:val="single"/>
        </w:rPr>
        <w:t>97,8</w:t>
      </w:r>
      <w:r w:rsidRPr="00320591">
        <w:rPr>
          <w:i/>
        </w:rPr>
        <w:t xml:space="preserve">  </w:t>
      </w:r>
      <w:r w:rsidRPr="00320591">
        <w:rPr>
          <w:b/>
          <w:i/>
        </w:rPr>
        <w:t xml:space="preserve"> zamestnancov/rok</w:t>
      </w:r>
    </w:p>
    <w:p w:rsidR="00865DDA" w:rsidRPr="00320591" w:rsidRDefault="00865DDA" w:rsidP="00865DDA">
      <w:pPr>
        <w:ind w:left="720"/>
        <w:jc w:val="both"/>
        <w:rPr>
          <w:i/>
        </w:rPr>
      </w:pPr>
      <w:r w:rsidRPr="00320591">
        <w:rPr>
          <w:i/>
        </w:rPr>
        <w:t xml:space="preserve">            97,8  : 72 SK =1,4   zamestnanca / 1 SK.</w:t>
      </w:r>
    </w:p>
    <w:p w:rsidR="00865DDA" w:rsidRPr="00320591" w:rsidRDefault="00865DDA" w:rsidP="00865DDA">
      <w:pPr>
        <w:ind w:left="720"/>
        <w:jc w:val="both"/>
        <w:rPr>
          <w:i/>
        </w:rPr>
      </w:pPr>
      <w:r w:rsidRPr="00320591">
        <w:rPr>
          <w:i/>
        </w:rPr>
        <w:tab/>
      </w:r>
    </w:p>
    <w:p w:rsidR="00865DDA" w:rsidRPr="00320591" w:rsidRDefault="00865DDA" w:rsidP="00865DDA">
      <w:pPr>
        <w:ind w:left="720" w:firstLine="696"/>
        <w:jc w:val="both"/>
        <w:rPr>
          <w:b/>
          <w:u w:val="single"/>
        </w:rPr>
      </w:pPr>
      <w:r w:rsidRPr="00320591">
        <w:rPr>
          <w:b/>
          <w:u w:val="single"/>
        </w:rPr>
        <w:t xml:space="preserve">Určenie negatívneho dopadu na rozpočet: </w:t>
      </w:r>
    </w:p>
    <w:p w:rsidR="00865DDA" w:rsidRPr="00320591" w:rsidRDefault="00865DDA" w:rsidP="00865DDA">
      <w:pPr>
        <w:pStyle w:val="Odsekzoznamu"/>
        <w:numPr>
          <w:ilvl w:val="0"/>
          <w:numId w:val="3"/>
        </w:numPr>
        <w:jc w:val="both"/>
        <w:rPr>
          <w:i/>
        </w:rPr>
      </w:pPr>
      <w:r w:rsidRPr="00320591">
        <w:rPr>
          <w:i/>
        </w:rPr>
        <w:t xml:space="preserve">Čistý fond pracovnej doby v r. 2012 je </w:t>
      </w:r>
      <w:r w:rsidRPr="00320591">
        <w:rPr>
          <w:b/>
          <w:i/>
        </w:rPr>
        <w:t>1582 PH</w:t>
      </w:r>
      <w:r w:rsidRPr="00320591">
        <w:rPr>
          <w:i/>
        </w:rPr>
        <w:t>/zamestnanec/rok</w:t>
      </w:r>
    </w:p>
    <w:p w:rsidR="00865DDA" w:rsidRPr="00320591" w:rsidRDefault="00865DDA" w:rsidP="00865DDA">
      <w:pPr>
        <w:pStyle w:val="Odsekzoznamu"/>
        <w:numPr>
          <w:ilvl w:val="0"/>
          <w:numId w:val="3"/>
        </w:numPr>
        <w:jc w:val="both"/>
        <w:rPr>
          <w:i/>
        </w:rPr>
      </w:pPr>
      <w:r w:rsidRPr="00320591">
        <w:rPr>
          <w:i/>
        </w:rPr>
        <w:lastRenderedPageBreak/>
        <w:t xml:space="preserve">Na zápis  117 366  nájomných zmlúv k nájomným právam bude potrebných 97,8   </w:t>
      </w:r>
      <w:proofErr w:type="spellStart"/>
      <w:r w:rsidRPr="00320591">
        <w:rPr>
          <w:i/>
        </w:rPr>
        <w:t>zam</w:t>
      </w:r>
      <w:proofErr w:type="spellEnd"/>
      <w:r w:rsidRPr="00320591">
        <w:rPr>
          <w:i/>
        </w:rPr>
        <w:t>. x 1582 PH =</w:t>
      </w:r>
      <w:r w:rsidRPr="00320591">
        <w:rPr>
          <w:i/>
          <w:u w:val="single"/>
        </w:rPr>
        <w:t>154 720</w:t>
      </w:r>
      <w:r w:rsidRPr="00320591">
        <w:rPr>
          <w:i/>
        </w:rPr>
        <w:t xml:space="preserve">  PH/rok.</w:t>
      </w:r>
    </w:p>
    <w:p w:rsidR="00865DDA" w:rsidRDefault="00865DDA" w:rsidP="00865DDA">
      <w:pPr>
        <w:pStyle w:val="Odsekzoznamu"/>
        <w:numPr>
          <w:ilvl w:val="0"/>
          <w:numId w:val="3"/>
        </w:numPr>
        <w:jc w:val="both"/>
        <w:rPr>
          <w:b/>
          <w:i/>
        </w:rPr>
      </w:pPr>
      <w:r w:rsidRPr="00320591">
        <w:rPr>
          <w:i/>
        </w:rPr>
        <w:t xml:space="preserve">Priemerná mzda zamestnanca je cca 628 €/mesiac. 97,8  </w:t>
      </w:r>
      <w:proofErr w:type="spellStart"/>
      <w:r w:rsidRPr="00320591">
        <w:rPr>
          <w:i/>
        </w:rPr>
        <w:t>zam</w:t>
      </w:r>
      <w:proofErr w:type="spellEnd"/>
      <w:r w:rsidRPr="00320591">
        <w:rPr>
          <w:i/>
        </w:rPr>
        <w:t xml:space="preserve">. x 628 € =  61418  </w:t>
      </w:r>
      <w:r w:rsidRPr="00320591">
        <w:rPr>
          <w:b/>
          <w:i/>
        </w:rPr>
        <w:t xml:space="preserve"> € - potreba mzdového fondu/mesiac; za rok k zabezpečeniu úlohy zápisu nájomných práv je to 61 418 x 12 = 737 016 €, čo je negatívny vplyv na rozpočet. </w:t>
      </w:r>
    </w:p>
    <w:p w:rsidR="00865DDA" w:rsidRPr="00320591" w:rsidRDefault="00865DDA" w:rsidP="00865DDA">
      <w:pPr>
        <w:pStyle w:val="Odsekzoznamu"/>
        <w:ind w:left="1440"/>
        <w:jc w:val="both"/>
        <w:rPr>
          <w:b/>
          <w:i/>
        </w:rPr>
      </w:pPr>
    </w:p>
    <w:p w:rsidR="00865DDA" w:rsidRPr="00320591" w:rsidRDefault="00865DDA" w:rsidP="00865DDA">
      <w:pPr>
        <w:ind w:left="1416"/>
        <w:jc w:val="both"/>
        <w:rPr>
          <w:u w:val="single"/>
        </w:rPr>
      </w:pPr>
      <w:r w:rsidRPr="00320591">
        <w:rPr>
          <w:b/>
          <w:u w:val="single"/>
        </w:rPr>
        <w:t>Určenie pozitívneho dopadu na rozpočet</w:t>
      </w:r>
      <w:r w:rsidRPr="00320591">
        <w:rPr>
          <w:u w:val="single"/>
        </w:rPr>
        <w:t>:</w:t>
      </w:r>
    </w:p>
    <w:p w:rsidR="00865DDA" w:rsidRPr="00320591" w:rsidRDefault="00865DDA" w:rsidP="00865DDA">
      <w:pPr>
        <w:pStyle w:val="Odsekzoznamu"/>
        <w:numPr>
          <w:ilvl w:val="0"/>
          <w:numId w:val="5"/>
        </w:numPr>
        <w:jc w:val="both"/>
      </w:pPr>
      <w:r w:rsidRPr="00320591">
        <w:t xml:space="preserve">Zápis nájomných práv bude spoplatnený cca 30 €. Pri 117 366 zmlúv x 30 € =  </w:t>
      </w:r>
      <w:r w:rsidRPr="002A79D1">
        <w:rPr>
          <w:b/>
        </w:rPr>
        <w:t>3 520 980 €</w:t>
      </w:r>
      <w:r w:rsidRPr="00320591">
        <w:t>, čo bude príjmom do štátneho rozpočtu na základe zákona č. 145/1995 Z. z. správnych poplatkoch.</w:t>
      </w:r>
    </w:p>
    <w:p w:rsidR="00865DDA" w:rsidRDefault="00865DDA" w:rsidP="00865DDA">
      <w:pPr>
        <w:pStyle w:val="Odsekzoznamu"/>
        <w:jc w:val="both"/>
      </w:pPr>
    </w:p>
    <w:p w:rsidR="00865DDA" w:rsidRDefault="00865DDA" w:rsidP="00865DDA">
      <w:pPr>
        <w:pStyle w:val="Odsekzoznamu"/>
        <w:numPr>
          <w:ilvl w:val="0"/>
          <w:numId w:val="6"/>
        </w:numPr>
        <w:jc w:val="both"/>
      </w:pPr>
      <w:r>
        <w:t>K § 5 , písm. b) bod 8 – údaje o zrúcaninách. Na základe odborného odhadu sa predpokladá zápis 200 zrúcanín.</w:t>
      </w:r>
    </w:p>
    <w:p w:rsidR="00865DDA" w:rsidRDefault="00865DDA" w:rsidP="00865DDA">
      <w:pPr>
        <w:pStyle w:val="Odsekzoznamu"/>
        <w:numPr>
          <w:ilvl w:val="0"/>
          <w:numId w:val="4"/>
        </w:numPr>
        <w:jc w:val="both"/>
        <w:rPr>
          <w:b/>
          <w:i/>
        </w:rPr>
      </w:pPr>
      <w:r>
        <w:rPr>
          <w:i/>
        </w:rPr>
        <w:t>Norma na zápis listín je 1 200 listín/</w:t>
      </w:r>
      <w:proofErr w:type="spellStart"/>
      <w:r>
        <w:rPr>
          <w:i/>
        </w:rPr>
        <w:t>zam</w:t>
      </w:r>
      <w:proofErr w:type="spellEnd"/>
      <w:r>
        <w:rPr>
          <w:i/>
        </w:rPr>
        <w:t>./rok. Z 1 200 listín 200 listín o zrúcaninách predstavuje kapacitu 16,7% normovaného výkonu/rok. Pri 1582 PH/</w:t>
      </w:r>
      <w:proofErr w:type="spellStart"/>
      <w:r>
        <w:rPr>
          <w:i/>
        </w:rPr>
        <w:t>zam</w:t>
      </w:r>
      <w:proofErr w:type="spellEnd"/>
      <w:r>
        <w:rPr>
          <w:i/>
        </w:rPr>
        <w:t xml:space="preserve">./rok to predstavuje potrebu 264 PH, t. j. 0,2 zamestnanca /rok. Mzdové náklady predpokladáme 0,2 </w:t>
      </w:r>
      <w:proofErr w:type="spellStart"/>
      <w:r>
        <w:rPr>
          <w:i/>
        </w:rPr>
        <w:t>zam</w:t>
      </w:r>
      <w:proofErr w:type="spellEnd"/>
      <w:r>
        <w:rPr>
          <w:i/>
        </w:rPr>
        <w:t xml:space="preserve">. x 628 € = 125,6 €/rok.  </w:t>
      </w:r>
      <w:r>
        <w:rPr>
          <w:b/>
          <w:i/>
        </w:rPr>
        <w:t>Z uvedeného vyplýva, že zápis zrúcanín  do katastra nehnuteľností nebude mať zásadný vplyv na požiadavky kapacít zamestnancov, ani na mzdové náklady.</w:t>
      </w:r>
    </w:p>
    <w:p w:rsidR="00865DDA" w:rsidRDefault="00865DDA" w:rsidP="00865DDA">
      <w:pPr>
        <w:pStyle w:val="Odsekzoznamu"/>
        <w:ind w:left="1440"/>
        <w:jc w:val="both"/>
        <w:rPr>
          <w:b/>
          <w:i/>
        </w:rPr>
      </w:pPr>
    </w:p>
    <w:p w:rsidR="00865DDA" w:rsidRPr="005E3D73" w:rsidRDefault="00865DDA" w:rsidP="00865DDA">
      <w:pPr>
        <w:pStyle w:val="Odsekzoznamu"/>
        <w:numPr>
          <w:ilvl w:val="0"/>
          <w:numId w:val="6"/>
        </w:numPr>
        <w:jc w:val="both"/>
      </w:pPr>
      <w:r>
        <w:t>K § 22 a </w:t>
      </w:r>
      <w:proofErr w:type="spellStart"/>
      <w:r>
        <w:t>násl</w:t>
      </w:r>
      <w:proofErr w:type="spellEnd"/>
      <w:r>
        <w:t>. (ustanovenia o katastrálnych konaniach)</w:t>
      </w:r>
    </w:p>
    <w:p w:rsidR="00865DDA" w:rsidRDefault="00865DDA" w:rsidP="00865DDA">
      <w:pPr>
        <w:pStyle w:val="Odsekzoznamu"/>
        <w:numPr>
          <w:ilvl w:val="0"/>
          <w:numId w:val="4"/>
        </w:numPr>
        <w:jc w:val="both"/>
        <w:rPr>
          <w:i/>
        </w:rPr>
      </w:pPr>
      <w:r w:rsidRPr="007650C7">
        <w:rPr>
          <w:i/>
        </w:rPr>
        <w:t xml:space="preserve">V rámci OPIS sa pripravuje elektronizácia katastra, ktorá ovplyvni technológiu spravovania operátov katastra nehnuteľností. Skenery sú už zabezpečené, preto na ich obstaranie sa nepredpokladajú náklady. V súvislosti so zabezpečením zaručených elektronických podpisov sa  predpokladá vplyv na rozpočet. </w:t>
      </w:r>
    </w:p>
    <w:p w:rsidR="00865DDA" w:rsidRDefault="00865DDA" w:rsidP="00865DDA">
      <w:pPr>
        <w:pStyle w:val="Odsekzoznamu"/>
        <w:ind w:left="1440"/>
        <w:jc w:val="both"/>
        <w:rPr>
          <w:b/>
          <w:color w:val="FF0000"/>
          <w:u w:val="single"/>
        </w:rPr>
      </w:pPr>
    </w:p>
    <w:p w:rsidR="00865DDA" w:rsidRPr="00320591" w:rsidRDefault="00865DDA" w:rsidP="00865DDA">
      <w:pPr>
        <w:pStyle w:val="Odsekzoznamu"/>
        <w:ind w:left="1440"/>
        <w:jc w:val="both"/>
        <w:rPr>
          <w:b/>
          <w:u w:val="single"/>
        </w:rPr>
      </w:pPr>
      <w:r w:rsidRPr="00320591">
        <w:rPr>
          <w:b/>
          <w:u w:val="single"/>
        </w:rPr>
        <w:t xml:space="preserve">Určenie negatívneho dopadu na rozpočet: </w:t>
      </w:r>
    </w:p>
    <w:p w:rsidR="00865DDA" w:rsidRDefault="00865DDA" w:rsidP="00865DDA">
      <w:pPr>
        <w:pStyle w:val="Bezriadkovania"/>
        <w:numPr>
          <w:ilvl w:val="0"/>
          <w:numId w:val="4"/>
        </w:numPr>
        <w:jc w:val="both"/>
        <w:rPr>
          <w:i/>
        </w:rPr>
      </w:pPr>
      <w:r w:rsidRPr="007650C7">
        <w:rPr>
          <w:i/>
        </w:rPr>
        <w:t>V roku 2011 bolo 261 304 právoplatne skončených konaní o povolení vkladu do katastra nehnuteľností. Počet návrhov podaných elektronicky v roku 2011 bolo 9 600, skončených bolo 8 560, čo predstavuje 3,3%. Predpokladáme, že počet elektronických podaní sa bude neustále zvyšovať a preto je potrebné zabezpečiť „Zaručené elektronické podpisy (ZEP) a časové pečiatky pre prvostupňové a druhostupňové orgány štátnej správy na úseku katastra nehnuteľností.“</w:t>
      </w:r>
    </w:p>
    <w:p w:rsidR="00865DDA" w:rsidRPr="00260DE5" w:rsidRDefault="00865DDA" w:rsidP="00865DDA">
      <w:pPr>
        <w:pStyle w:val="Bezriadkovania"/>
        <w:numPr>
          <w:ilvl w:val="0"/>
          <w:numId w:val="4"/>
        </w:numPr>
        <w:jc w:val="both"/>
        <w:rPr>
          <w:i/>
        </w:rPr>
      </w:pPr>
      <w:r>
        <w:rPr>
          <w:i/>
        </w:rPr>
        <w:t xml:space="preserve">V ďalšom roku predpokladáme nárast + 5% elektronicky skončených podaní návrhov na vklad čo z 261 304 predstavuje 13 065 právoplatne skončených vkladových konaní. 13 065 konaní x 66 € = 862 290 €.  </w:t>
      </w:r>
    </w:p>
    <w:p w:rsidR="00865DDA" w:rsidRDefault="00865DDA" w:rsidP="00865DDA">
      <w:pPr>
        <w:pStyle w:val="Bezriadkovania"/>
        <w:ind w:left="1440"/>
        <w:jc w:val="both"/>
        <w:rPr>
          <w:b/>
          <w:i/>
        </w:rPr>
      </w:pPr>
      <w:r>
        <w:rPr>
          <w:i/>
        </w:rPr>
        <w:t xml:space="preserve"> V druhom roku predpokladáme nárast + 10% elektronicky skončených  podaní  na  vklad, čo predstavuje 26 130 právoplatne skončených návrhov na vklad. 26 130 x 66 € = 1 724 580 €. Čiže v 1. a 2. roku by mal byť príjem do štátneho rozpočtu na základe zákona o správnych poplatkoch vo výške 2 586 870 €. Tento príjem nebude, nakoľko pri elektronickom podaní správny poplatok je znížený o 50%, čo predstavuje </w:t>
      </w:r>
      <w:r w:rsidRPr="00AD773F">
        <w:rPr>
          <w:b/>
          <w:i/>
        </w:rPr>
        <w:t>1 293 435 €</w:t>
      </w:r>
      <w:r>
        <w:rPr>
          <w:i/>
        </w:rPr>
        <w:t xml:space="preserve"> a taká istá čiastka predstavuje aj negatívny dopad na príjem štátneho rozpočtu. </w:t>
      </w:r>
      <w:r>
        <w:rPr>
          <w:b/>
          <w:i/>
        </w:rPr>
        <w:t xml:space="preserve">Do budúcna  tento negatívny dopad na štátny rozpočet sa bude riešiť po ukončení OPIS – ESKN projektu, kedy sa pri používaní elektronických formulárov predpokladá  zrušenie zníženia  správneho poplatku. </w:t>
      </w:r>
    </w:p>
    <w:p w:rsidR="00865DDA" w:rsidRPr="00161889" w:rsidRDefault="00865DDA" w:rsidP="00865DDA">
      <w:pPr>
        <w:pStyle w:val="Bezriadkovania"/>
        <w:ind w:left="1440"/>
        <w:jc w:val="both"/>
        <w:rPr>
          <w:b/>
          <w:i/>
        </w:rPr>
      </w:pPr>
    </w:p>
    <w:p w:rsidR="00865DDA" w:rsidRPr="009421CF" w:rsidRDefault="00865DDA" w:rsidP="00865DDA">
      <w:pPr>
        <w:pStyle w:val="Bezriadkovania"/>
        <w:numPr>
          <w:ilvl w:val="0"/>
          <w:numId w:val="7"/>
        </w:numPr>
        <w:jc w:val="both"/>
      </w:pPr>
      <w:r>
        <w:rPr>
          <w:i/>
        </w:rPr>
        <w:lastRenderedPageBreak/>
        <w:t>Určenie nákladov na ZEP</w:t>
      </w:r>
      <w:r>
        <w:t>:</w:t>
      </w:r>
    </w:p>
    <w:p w:rsidR="00865DDA" w:rsidRDefault="00865DDA" w:rsidP="00865DDA">
      <w:pPr>
        <w:ind w:left="1416"/>
        <w:jc w:val="both"/>
      </w:pPr>
      <w:r>
        <w:t>ZEP s čítačkou na 2 roky stoji cca 110 € s DPH</w:t>
      </w:r>
    </w:p>
    <w:p w:rsidR="00865DDA" w:rsidRDefault="00865DDA" w:rsidP="00865DDA">
      <w:pPr>
        <w:ind w:left="1416"/>
        <w:jc w:val="both"/>
      </w:pPr>
      <w:r>
        <w:t>Časová pečiatka k ZEP na 2 roky stoji cca 30 € s DPH</w:t>
      </w:r>
    </w:p>
    <w:p w:rsidR="00865DDA" w:rsidRDefault="00865DDA" w:rsidP="00865DDA">
      <w:pPr>
        <w:ind w:left="1416"/>
        <w:jc w:val="both"/>
      </w:pPr>
      <w:r>
        <w:t>V rezorte je potrebné zabezpečiť ZEP pre:</w:t>
      </w:r>
    </w:p>
    <w:p w:rsidR="00865DDA" w:rsidRDefault="00865DDA" w:rsidP="00865DDA">
      <w:pPr>
        <w:pStyle w:val="Odsekzoznamu"/>
        <w:numPr>
          <w:ilvl w:val="0"/>
          <w:numId w:val="8"/>
        </w:numPr>
        <w:jc w:val="both"/>
      </w:pPr>
      <w:r>
        <w:t>200 zamestnancov rozhodujúcich o povolení vkladu</w:t>
      </w:r>
    </w:p>
    <w:p w:rsidR="00865DDA" w:rsidRDefault="00865DDA" w:rsidP="00865DDA">
      <w:pPr>
        <w:pStyle w:val="Odsekzoznamu"/>
        <w:numPr>
          <w:ilvl w:val="0"/>
          <w:numId w:val="8"/>
        </w:numPr>
        <w:jc w:val="both"/>
      </w:pPr>
      <w:r>
        <w:t>20 zamestnancov riešiacich odvolania proti prvostupňovým rozhodnutiam</w:t>
      </w:r>
    </w:p>
    <w:p w:rsidR="00865DDA" w:rsidRDefault="00865DDA" w:rsidP="00865DDA">
      <w:pPr>
        <w:pStyle w:val="Odsekzoznamu"/>
        <w:numPr>
          <w:ilvl w:val="0"/>
          <w:numId w:val="8"/>
        </w:numPr>
        <w:jc w:val="both"/>
      </w:pPr>
      <w:r>
        <w:t>140 zamestnancov zabezpečujúcich  rozhodnutia o nevykonaní záznamu</w:t>
      </w:r>
    </w:p>
    <w:p w:rsidR="00865DDA" w:rsidRDefault="00865DDA" w:rsidP="00865DDA">
      <w:pPr>
        <w:pStyle w:val="Odsekzoznamu"/>
        <w:numPr>
          <w:ilvl w:val="0"/>
          <w:numId w:val="8"/>
        </w:numPr>
        <w:jc w:val="both"/>
      </w:pPr>
      <w:r>
        <w:t>190 zamestnancov vykonávajúcich úradne overenie vybraných geodetických a kartografických činností</w:t>
      </w:r>
    </w:p>
    <w:p w:rsidR="00865DDA" w:rsidRDefault="00865DDA" w:rsidP="00865DDA">
      <w:pPr>
        <w:pStyle w:val="Odsekzoznamu"/>
        <w:numPr>
          <w:ilvl w:val="0"/>
          <w:numId w:val="9"/>
        </w:numPr>
        <w:jc w:val="both"/>
      </w:pPr>
      <w:r>
        <w:t>72 riaditeľov správ katastra</w:t>
      </w:r>
    </w:p>
    <w:p w:rsidR="00865DDA" w:rsidRPr="005573B8" w:rsidRDefault="00865DDA" w:rsidP="00865DDA">
      <w:pPr>
        <w:pStyle w:val="Odsekzoznamu"/>
        <w:ind w:left="2136"/>
        <w:jc w:val="both"/>
        <w:rPr>
          <w:b/>
          <w:u w:val="single"/>
        </w:rPr>
      </w:pPr>
      <w:r>
        <w:rPr>
          <w:b/>
          <w:u w:val="single"/>
        </w:rPr>
        <w:t>Určenie negatívneho  vplyvu:</w:t>
      </w:r>
    </w:p>
    <w:p w:rsidR="00865DDA" w:rsidRDefault="00865DDA" w:rsidP="00865DDA">
      <w:pPr>
        <w:pStyle w:val="Odsekzoznamu"/>
        <w:ind w:left="2136"/>
        <w:jc w:val="both"/>
        <w:rPr>
          <w:b/>
        </w:rPr>
      </w:pPr>
      <w:r w:rsidRPr="002D0C6D">
        <w:rPr>
          <w:b/>
        </w:rPr>
        <w:t xml:space="preserve">Spolu: </w:t>
      </w:r>
      <w:r>
        <w:rPr>
          <w:b/>
        </w:rPr>
        <w:t>622 zamestnancov, ktorí majú disponovať so ZEP s časovou pečiatkou.</w:t>
      </w:r>
    </w:p>
    <w:p w:rsidR="00865DDA" w:rsidRDefault="00865DDA" w:rsidP="00865DDA">
      <w:pPr>
        <w:jc w:val="both"/>
      </w:pPr>
      <w:r>
        <w:rPr>
          <w:b/>
        </w:rPr>
        <w:tab/>
      </w:r>
      <w:r>
        <w:rPr>
          <w:b/>
        </w:rPr>
        <w:tab/>
      </w:r>
      <w:r>
        <w:rPr>
          <w:b/>
        </w:rPr>
        <w:tab/>
      </w:r>
      <w:r>
        <w:t>622 x 110 € = 68 420,- € - ZEP</w:t>
      </w:r>
    </w:p>
    <w:p w:rsidR="00865DDA" w:rsidRDefault="00865DDA" w:rsidP="00865DDA">
      <w:pPr>
        <w:jc w:val="both"/>
      </w:pPr>
      <w:r>
        <w:tab/>
      </w:r>
      <w:r>
        <w:tab/>
      </w:r>
      <w:r>
        <w:tab/>
        <w:t>622 x 30 € =   18 660,- € - Časová pečiatka</w:t>
      </w:r>
    </w:p>
    <w:p w:rsidR="00865DDA" w:rsidRDefault="00865DDA" w:rsidP="00865DDA">
      <w:pPr>
        <w:jc w:val="both"/>
      </w:pPr>
      <w:r>
        <w:tab/>
      </w:r>
      <w:r>
        <w:tab/>
      </w:r>
      <w:r>
        <w:tab/>
      </w:r>
      <w:r>
        <w:rPr>
          <w:b/>
        </w:rPr>
        <w:t xml:space="preserve">Spolu 87 080 € je požiadavka na rozpočet </w:t>
      </w:r>
      <w:r>
        <w:rPr>
          <w:b/>
          <w:i/>
        </w:rPr>
        <w:t>každé 2 roky.</w:t>
      </w:r>
      <w:r>
        <w:t xml:space="preserve"> Na jeden rok </w:t>
      </w:r>
    </w:p>
    <w:p w:rsidR="00865DDA" w:rsidRDefault="00865DDA" w:rsidP="00865DDA">
      <w:pPr>
        <w:jc w:val="both"/>
      </w:pPr>
      <w:r>
        <w:t xml:space="preserve">                                    to predstavuje 43 540 €. </w:t>
      </w:r>
    </w:p>
    <w:p w:rsidR="00865DDA" w:rsidRDefault="00865DDA" w:rsidP="00865DDA">
      <w:pPr>
        <w:ind w:left="2145"/>
        <w:jc w:val="both"/>
      </w:pPr>
    </w:p>
    <w:p w:rsidR="00865DDA" w:rsidRPr="00CC4AD4" w:rsidRDefault="00865DDA" w:rsidP="00865DDA">
      <w:pPr>
        <w:pStyle w:val="Odsekzoznamu"/>
        <w:numPr>
          <w:ilvl w:val="0"/>
          <w:numId w:val="6"/>
        </w:numPr>
        <w:jc w:val="both"/>
      </w:pPr>
      <w:r>
        <w:t xml:space="preserve">O odmietnutí zápisu záznamu do katastra nehnuteľností v zmysle § 39 ods. 2 navrhovaného katastrálneho zákona správa katastra vydá rozhodnutie o nevykonaní záznamu. Po získaní osobitnej odbornej spôsobilosti budú vypracovávať doterajší 140 štátne zamestnanci vykonávajúci zápisy záznamových listín. Z uvedeného dôvodu v zmysle zákona č. 400/2009 Z. z. o štátnej službe dôjde k preradeniu 140 štátnych zamestnancov z funkcie hlavný referent – 4. platová trieda, do funkcie samostatný radca – 6. platová trieda a tým sa zvyšuje nárok na tarifný plat o rozdiel 4. a 6. platovej triedy, t. j. 111,- € mesačne. </w:t>
      </w:r>
      <w:r w:rsidRPr="00CC4AD4">
        <w:rPr>
          <w:b/>
        </w:rPr>
        <w:t>Ako negatívny dopad na štátny rozpočet vzniká 111 x 140 x 12 = 186 480,- € ročne.</w:t>
      </w:r>
    </w:p>
    <w:p w:rsidR="00865DDA" w:rsidRDefault="00865DDA" w:rsidP="00865DDA">
      <w:pPr>
        <w:pStyle w:val="Odsekzoznamu"/>
        <w:ind w:left="1080"/>
        <w:jc w:val="both"/>
      </w:pPr>
    </w:p>
    <w:p w:rsidR="00865DDA" w:rsidRDefault="00865DDA" w:rsidP="00865DDA">
      <w:pPr>
        <w:pStyle w:val="Odsekzoznamu"/>
        <w:ind w:left="1080"/>
        <w:jc w:val="both"/>
      </w:pPr>
    </w:p>
    <w:p w:rsidR="00865DDA" w:rsidRDefault="00865DDA" w:rsidP="00865DDA">
      <w:pPr>
        <w:pStyle w:val="Odsekzoznamu"/>
        <w:ind w:left="1080"/>
        <w:jc w:val="both"/>
      </w:pPr>
    </w:p>
    <w:p w:rsidR="00865DDA" w:rsidRDefault="00865DDA" w:rsidP="00865DDA">
      <w:pPr>
        <w:pStyle w:val="Odsekzoznamu"/>
        <w:ind w:left="1080"/>
        <w:jc w:val="both"/>
      </w:pPr>
      <w:r>
        <w:rPr>
          <w:b/>
          <w:u w:val="single"/>
        </w:rPr>
        <w:t>Určenie pozitívneho dopadu na rozpočet:</w:t>
      </w:r>
    </w:p>
    <w:p w:rsidR="00865DDA" w:rsidRDefault="00865DDA" w:rsidP="00865DDA">
      <w:pPr>
        <w:pStyle w:val="Odsekzoznamu"/>
        <w:numPr>
          <w:ilvl w:val="0"/>
          <w:numId w:val="7"/>
        </w:numPr>
        <w:jc w:val="both"/>
      </w:pPr>
      <w:r>
        <w:t xml:space="preserve">Novela katastrálneho zákona zavádza nový správna poplatok za zrýchlený návrh na zápis práv k nehnuteľnostiam záznamom vo výške cca 165 €. Počet záznamových listín v roku 2011 bolo 334 745. Predpokladáme, že </w:t>
      </w:r>
      <w:r>
        <w:rPr>
          <w:b/>
        </w:rPr>
        <w:t>3%</w:t>
      </w:r>
      <w:r>
        <w:t xml:space="preserve"> návrhov záznamov bude návrh urýchleného zápisu, čo predstavuje 10 042 takýchto záznamov. 10 042 x 165 € = </w:t>
      </w:r>
      <w:r>
        <w:rPr>
          <w:b/>
        </w:rPr>
        <w:t>1 656 930 € ako ročný pozitívny vplyv na štátny rozpočet.</w:t>
      </w:r>
    </w:p>
    <w:p w:rsidR="00865DDA" w:rsidRDefault="00865DDA" w:rsidP="00865DDA">
      <w:pPr>
        <w:pStyle w:val="Odsekzoznamu"/>
        <w:numPr>
          <w:ilvl w:val="0"/>
          <w:numId w:val="7"/>
        </w:numPr>
        <w:jc w:val="both"/>
      </w:pPr>
      <w:r>
        <w:t xml:space="preserve">Novela katastrálneho zákona zavádza nový správny poplatok za žiadosť o prešetrenie zmien údajov katastra vo výške cca 50 €. V roku 2011 bolo vykonaných 17 530 konaní o oprave chýb v operáte katastra nehnuteľností . Z toho 12 167 konaní bolo vykonaných bez rozhodnutia, teda neformálnym spôsobom a 5 363 konaní, ktoré končili rozhodnutím. </w:t>
      </w:r>
      <w:r>
        <w:rPr>
          <w:b/>
          <w:i/>
        </w:rPr>
        <w:t xml:space="preserve">Tento správny poplatok predpokladá vrátenie správneho poplatku, ak sa nezistí porušenie resp. chyba údajov. </w:t>
      </w:r>
      <w:r>
        <w:t xml:space="preserve">Odborný odhad predpokladá, že všetky doterajšie neformálne opravy chýb sú opravami, kde boli zistené chyby a preto správny poplatok by mal byť vrátený. Z počtu 5 363 konaní o oprave chyby vrátenie správneho poplatku pripadá do úvahy vtedy, ak  nedôjde  k zamietnutiu alebo zastaveniu konania. Z počtu 5 363 rozhodnutí o oprave chyba bolo 1% rozhodnutí o zastavení konania alebo </w:t>
      </w:r>
      <w:r>
        <w:lastRenderedPageBreak/>
        <w:t xml:space="preserve">zamietnutí konania  o oprave chyby, čo je cca 54 rozhodnutí ročne. 54 x 50 € = </w:t>
      </w:r>
      <w:r w:rsidRPr="00BF60EA">
        <w:rPr>
          <w:b/>
        </w:rPr>
        <w:t>2 700 € ročne, čo je minimálny dopad na štátny rozpočet.</w:t>
      </w:r>
      <w:r>
        <w:t xml:space="preserve"> Správny poplatok bude síce vybratý pri cca 17 476 konaniach o oprave chyby, čo predstavuje 17 476 x 50 € = </w:t>
      </w:r>
      <w:r w:rsidRPr="00BF60EA">
        <w:rPr>
          <w:b/>
        </w:rPr>
        <w:t>873 800,- €,</w:t>
      </w:r>
      <w:r>
        <w:t xml:space="preserve"> ktoré následne z dôvodu úspešnosti navrhovateľov </w:t>
      </w:r>
      <w:r w:rsidRPr="00BF60EA">
        <w:rPr>
          <w:b/>
        </w:rPr>
        <w:t>budú musieť byť</w:t>
      </w:r>
      <w:r>
        <w:t xml:space="preserve"> rozhodnutím prostredníctvom daňových úradov </w:t>
      </w:r>
      <w:r w:rsidRPr="00BF60EA">
        <w:rPr>
          <w:b/>
        </w:rPr>
        <w:t>zo štátneho rozpočtu vrátené</w:t>
      </w:r>
      <w:r>
        <w:t xml:space="preserve">. </w:t>
      </w:r>
    </w:p>
    <w:p w:rsidR="00865DDA" w:rsidRDefault="00865DDA" w:rsidP="00865DDA">
      <w:pPr>
        <w:pStyle w:val="Odsekzoznamu"/>
        <w:ind w:left="1428"/>
        <w:jc w:val="both"/>
      </w:pPr>
    </w:p>
    <w:p w:rsidR="00865DDA" w:rsidRDefault="00865DDA" w:rsidP="00865DDA">
      <w:pPr>
        <w:pStyle w:val="Odsekzoznamu"/>
        <w:numPr>
          <w:ilvl w:val="0"/>
          <w:numId w:val="6"/>
        </w:numPr>
        <w:jc w:val="both"/>
      </w:pPr>
      <w:r>
        <w:t>Poskytovanie informácií z katastra nehnuteľností je spoplatnené už v súčasnosti a predpokladáme ich doterajšiu úroveň, preto na tejto činnosti novela katastrálneho zákona neprinesie žiadny dopad  na štátny rozpočet. Ako poznámku uvádzame, že v roku 2011 v hodnotovom vyjadrení pri poskytovaní informácií bolo vyprodukovaných 14 774 275 €. Z toho správne poplatky predstavovali 11 754 529 €.  Správna poplatky spoplatnené podľa zákona o správnych poplatkoch predstavovali 4 492 119 €. Poskytovanie informácií oslobodených od správnych poplatkov (na činnosť štátnych orgánov a samosprávnych orgánov verejnej správy) predstavuje hodnotové vyjadrenie 7 262 410 €. Toto je fiktívny príjem štátneho rozpočtu.</w:t>
      </w:r>
    </w:p>
    <w:p w:rsidR="00865DDA" w:rsidRDefault="00865DDA" w:rsidP="00865DDA">
      <w:pPr>
        <w:pStyle w:val="Odsekzoznamu"/>
        <w:ind w:left="1080"/>
        <w:jc w:val="both"/>
      </w:pPr>
    </w:p>
    <w:p w:rsidR="00865DDA" w:rsidRDefault="00865DDA" w:rsidP="00865DDA">
      <w:pPr>
        <w:pStyle w:val="Odsekzoznamu"/>
        <w:numPr>
          <w:ilvl w:val="0"/>
          <w:numId w:val="6"/>
        </w:numPr>
        <w:jc w:val="both"/>
      </w:pPr>
      <w:r>
        <w:t>Za úradné overenie vybraných geodetických a kartografických činností predpokladáme zachovanie doterajšej úrovne, preto novela katastrálneho zákona nebude mať žiadny dopad na štátny rozpočet. Ako poznámku uvádzame, že v roku 2011 bolo úradne overených 57 848 geometrických plánov za štandardný správny poplatok 26,50 € x 57 848 = 1 532 972 €.</w:t>
      </w:r>
    </w:p>
    <w:p w:rsidR="00865DDA" w:rsidRDefault="00865DDA" w:rsidP="00865DDA">
      <w:pPr>
        <w:pStyle w:val="Odsekzoznamu"/>
        <w:jc w:val="both"/>
      </w:pPr>
    </w:p>
    <w:p w:rsidR="00865DDA" w:rsidRDefault="00865DDA" w:rsidP="00865DDA">
      <w:pPr>
        <w:pStyle w:val="Odsekzoznamu"/>
        <w:ind w:left="1080"/>
        <w:jc w:val="both"/>
      </w:pPr>
    </w:p>
    <w:p w:rsidR="00865DDA" w:rsidRDefault="00865DDA" w:rsidP="00865DDA">
      <w:pPr>
        <w:pStyle w:val="Odsekzoznamu"/>
        <w:numPr>
          <w:ilvl w:val="0"/>
          <w:numId w:val="6"/>
        </w:numPr>
        <w:jc w:val="both"/>
      </w:pPr>
      <w:r>
        <w:t xml:space="preserve">Novela katastrálneho zákona zavádza novú službu. Poskytnutie „súpisu nehnuteľností“  jedného vlastníka po katastrálnych územiach z celej SR. Služba bude poskytovaná po nasadení nového ESKN programu centrálneho katastra po ukončení projektu v rámci OPIS. Navrhovaný je  nový správny poplatok cca 10 € za jedno katastrálne územie. Táto služba bude súbežná s doterajším poskytovaním informácií vo forme výpisov listov vlastníctva, preto dôjde k vzájomnej kompenzácii príjmovej časti  štátneho rozpočtu. Preto zo služby súpisu nehnuteľností nepredpokladáme žiadny dopad na štátny rozpočet. </w:t>
      </w:r>
    </w:p>
    <w:p w:rsidR="00865DDA" w:rsidRDefault="00865DDA" w:rsidP="00865DDA">
      <w:pPr>
        <w:pStyle w:val="Odsekzoznamu"/>
        <w:ind w:left="1080"/>
        <w:jc w:val="both"/>
      </w:pPr>
    </w:p>
    <w:p w:rsidR="00865DDA" w:rsidRDefault="00865DDA" w:rsidP="00865DDA">
      <w:pPr>
        <w:pStyle w:val="Odsekzoznamu"/>
        <w:numPr>
          <w:ilvl w:val="0"/>
          <w:numId w:val="6"/>
        </w:numPr>
        <w:jc w:val="both"/>
      </w:pPr>
      <w:r>
        <w:t>V ostatných ustanoveniach  novely katastrálneho zákona nepredpokladáme žiadny  dopad na štátny rozpočet.</w:t>
      </w:r>
    </w:p>
    <w:p w:rsidR="00865DDA" w:rsidRDefault="00865DDA" w:rsidP="00865DDA">
      <w:pPr>
        <w:pStyle w:val="Odsekzoznamu"/>
        <w:jc w:val="both"/>
      </w:pPr>
    </w:p>
    <w:p w:rsidR="00865DDA" w:rsidRDefault="00865DDA" w:rsidP="00865DDA">
      <w:pPr>
        <w:jc w:val="both"/>
      </w:pPr>
    </w:p>
    <w:p w:rsidR="00865DDA" w:rsidRDefault="00865DDA" w:rsidP="00865DDA">
      <w:pPr>
        <w:jc w:val="both"/>
        <w:sectPr w:rsidR="00865DDA">
          <w:footerReference w:type="even" r:id="rId6"/>
          <w:footerReference w:type="default" r:id="rId7"/>
          <w:pgSz w:w="12240" w:h="15840"/>
          <w:pgMar w:top="1417" w:right="1417" w:bottom="1417" w:left="1417" w:header="708" w:footer="708" w:gutter="0"/>
          <w:cols w:space="708"/>
          <w:rtlGutter/>
        </w:sectPr>
      </w:pPr>
    </w:p>
    <w:p w:rsidR="00865DDA" w:rsidRDefault="00865DDA" w:rsidP="00865DDA">
      <w:pPr>
        <w:pStyle w:val="Normlnywebov"/>
        <w:spacing w:before="0" w:beforeAutospacing="0" w:after="0" w:afterAutospacing="0"/>
        <w:jc w:val="right"/>
      </w:pPr>
      <w:r>
        <w:lastRenderedPageBreak/>
        <w:t xml:space="preserve">Tabuľka č. 4 </w:t>
      </w:r>
    </w:p>
    <w:tbl>
      <w:tblPr>
        <w:tblW w:w="13950" w:type="dxa"/>
        <w:tblCellMar>
          <w:left w:w="0" w:type="dxa"/>
          <w:right w:w="0" w:type="dxa"/>
        </w:tblCellMar>
        <w:tblLook w:val="0000" w:firstRow="0" w:lastRow="0" w:firstColumn="0" w:lastColumn="0" w:noHBand="0" w:noVBand="0"/>
      </w:tblPr>
      <w:tblGrid>
        <w:gridCol w:w="4950"/>
        <w:gridCol w:w="1500"/>
        <w:gridCol w:w="1500"/>
        <w:gridCol w:w="1500"/>
        <w:gridCol w:w="1500"/>
        <w:gridCol w:w="3000"/>
      </w:tblGrid>
      <w:tr w:rsidR="00865DDA" w:rsidTr="00B60A1F">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Default="00865DDA" w:rsidP="00B60A1F">
            <w:pPr>
              <w:pStyle w:val="Normlnywebov"/>
              <w:spacing w:before="0" w:beforeAutospacing="0" w:after="0" w:afterAutospacing="0"/>
              <w:jc w:val="center"/>
            </w:pPr>
            <w:r>
              <w:t> </w:t>
            </w:r>
            <w:r>
              <w:rPr>
                <w:b/>
                <w:bCs/>
                <w:color w:val="FFFFFF"/>
              </w:rPr>
              <w:t>Príjmy (v eurách)</w:t>
            </w:r>
          </w:p>
        </w:tc>
        <w:tc>
          <w:tcPr>
            <w:tcW w:w="0" w:type="auto"/>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Default="00865DDA" w:rsidP="00B60A1F">
            <w:pPr>
              <w:pStyle w:val="Normlnywebov"/>
              <w:spacing w:before="0" w:beforeAutospacing="0" w:after="0" w:afterAutospacing="0"/>
              <w:jc w:val="center"/>
            </w:pPr>
            <w:r>
              <w:rPr>
                <w:b/>
                <w:bCs/>
                <w:color w:val="FFFFFF"/>
              </w:rPr>
              <w:t>poznámka</w:t>
            </w:r>
          </w:p>
        </w:tc>
      </w:tr>
      <w:tr w:rsidR="00865DDA" w:rsidTr="00B60A1F">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tcPr>
          <w:p w:rsidR="00865DDA" w:rsidRDefault="00865DDA" w:rsidP="00B60A1F"/>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r</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r + 1</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r + 2</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r + 3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65DDA" w:rsidRDefault="00865DDA" w:rsidP="00B60A1F"/>
        </w:tc>
      </w:tr>
      <w:tr w:rsidR="00865DDA" w:rsidTr="00B60A1F">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b/>
                <w:bCs/>
              </w:rPr>
              <w:t>Daňové príjmy (100)</w:t>
            </w:r>
            <w:r>
              <w:rPr>
                <w:b/>
                <w:bCs/>
                <w:sz w:val="16"/>
                <w:szCs w:val="16"/>
                <w:vertAlign w:val="superscript"/>
              </w:rPr>
              <w:t>1</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b/>
                <w:bCs/>
              </w:rPr>
              <w:t>Nedaňové príjmy (221002)</w:t>
            </w:r>
            <w:r>
              <w:rPr>
                <w:b/>
                <w:bCs/>
                <w:sz w:val="16"/>
                <w:szCs w:val="16"/>
                <w:vertAlign w:val="superscript"/>
              </w:rPr>
              <w:t xml:space="preserve">1 </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0</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3 884 475 </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3 884 475 </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3 884 475  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865DDA" w:rsidRPr="00BA7FFD" w:rsidRDefault="00865DDA" w:rsidP="00B60A1F">
            <w:pPr>
              <w:pStyle w:val="Normlnywebov"/>
              <w:spacing w:before="0" w:beforeAutospacing="0" w:after="0" w:afterAutospacing="0"/>
              <w:rPr>
                <w:sz w:val="20"/>
                <w:szCs w:val="20"/>
              </w:rPr>
            </w:pPr>
            <w:r w:rsidRPr="00BA7FFD">
              <w:rPr>
                <w:sz w:val="20"/>
                <w:szCs w:val="20"/>
              </w:rPr>
              <w:t> Nie sú príjmom kapitoly ÚGKK, do ŠR prechádzajú ako tržby z predaja kolkových známok a v prípade hotovostnej platby prostredníctvom DÚ</w:t>
            </w:r>
          </w:p>
        </w:tc>
      </w:tr>
      <w:tr w:rsidR="00865DDA" w:rsidTr="00B60A1F">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b/>
                <w:bCs/>
              </w:rPr>
              <w:t>Granty a transfery (300)</w:t>
            </w:r>
            <w:r>
              <w:rPr>
                <w:b/>
                <w:bCs/>
                <w:sz w:val="16"/>
                <w:szCs w:val="16"/>
                <w:vertAlign w:val="superscript"/>
              </w:rPr>
              <w:t>1</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b/>
                <w:bCs/>
              </w:rPr>
              <w:t>Príjmy z transakcií s finančnými aktívami a finančnými pasívami (400)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b/>
                <w:bCs/>
              </w:rPr>
              <w:t>Prijaté úvery, pôžičky a návratné finančné výpomoci (500)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4950" w:type="dxa"/>
            <w:tcBorders>
              <w:left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pPr>
            <w:r>
              <w:rPr>
                <w:b/>
                <w:bCs/>
                <w:color w:val="FFFFFF"/>
              </w:rPr>
              <w:t>Dopad na príjmy verejnej správy celkom</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0 </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3 884 475 </w:t>
            </w:r>
            <w:r>
              <w:rPr>
                <w:b/>
                <w:bCs/>
                <w:color w:val="FFFFFF"/>
              </w:rPr>
              <w:t> </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3 884 475 </w:t>
            </w:r>
            <w:r>
              <w:rPr>
                <w:b/>
                <w:bCs/>
                <w:color w:val="FFFFFF"/>
              </w:rPr>
              <w:t> </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3 884 475 </w:t>
            </w:r>
            <w:r>
              <w:rPr>
                <w:b/>
                <w:bCs/>
                <w:color w:val="FFFFFF"/>
              </w:rPr>
              <w:t> </w:t>
            </w:r>
          </w:p>
        </w:tc>
        <w:tc>
          <w:tcPr>
            <w:tcW w:w="3000" w:type="dxa"/>
            <w:tcBorders>
              <w:bottom w:val="single" w:sz="4" w:space="0" w:color="000000"/>
              <w:right w:val="single" w:sz="4" w:space="0" w:color="000000"/>
            </w:tcBorders>
            <w:shd w:val="clear" w:color="auto" w:fill="000000"/>
            <w:tcMar>
              <w:top w:w="0" w:type="dxa"/>
              <w:left w:w="70" w:type="dxa"/>
              <w:bottom w:w="0" w:type="dxa"/>
              <w:right w:w="70" w:type="dxa"/>
            </w:tcMar>
            <w:vAlign w:val="bottom"/>
          </w:tcPr>
          <w:p w:rsidR="00865DDA" w:rsidRDefault="00865DDA" w:rsidP="00B60A1F">
            <w:pPr>
              <w:pStyle w:val="Normlnywebov"/>
              <w:spacing w:before="0" w:beforeAutospacing="0" w:after="0" w:afterAutospacing="0"/>
            </w:pPr>
            <w:r>
              <w:rPr>
                <w:color w:val="FFFFFF"/>
              </w:rPr>
              <w:t> </w:t>
            </w:r>
          </w:p>
        </w:tc>
      </w:tr>
      <w:tr w:rsidR="00865DDA" w:rsidTr="00B60A1F">
        <w:tc>
          <w:tcPr>
            <w:tcW w:w="4950" w:type="dxa"/>
            <w:tcBorders>
              <w:top w:val="nil"/>
              <w:left w:val="nil"/>
              <w:bottom w:val="nil"/>
              <w:right w:val="nil"/>
            </w:tcBorders>
            <w:vAlign w:val="center"/>
          </w:tcPr>
          <w:p w:rsidR="00865DDA" w:rsidRDefault="00865DDA" w:rsidP="00B60A1F">
            <w:pPr>
              <w:rPr>
                <w:sz w:val="2"/>
              </w:rPr>
            </w:pPr>
          </w:p>
        </w:tc>
        <w:tc>
          <w:tcPr>
            <w:tcW w:w="1500" w:type="dxa"/>
            <w:tcBorders>
              <w:top w:val="nil"/>
              <w:left w:val="nil"/>
              <w:bottom w:val="nil"/>
              <w:right w:val="nil"/>
            </w:tcBorders>
            <w:vAlign w:val="center"/>
          </w:tcPr>
          <w:p w:rsidR="00865DDA" w:rsidRDefault="00865DDA" w:rsidP="00B60A1F">
            <w:pPr>
              <w:rPr>
                <w:sz w:val="2"/>
              </w:rPr>
            </w:pPr>
          </w:p>
        </w:tc>
        <w:tc>
          <w:tcPr>
            <w:tcW w:w="1500" w:type="dxa"/>
            <w:tcBorders>
              <w:top w:val="nil"/>
              <w:left w:val="nil"/>
              <w:bottom w:val="nil"/>
              <w:right w:val="nil"/>
            </w:tcBorders>
            <w:vAlign w:val="center"/>
          </w:tcPr>
          <w:p w:rsidR="00865DDA" w:rsidRDefault="00865DDA" w:rsidP="00B60A1F">
            <w:pPr>
              <w:rPr>
                <w:sz w:val="2"/>
              </w:rPr>
            </w:pPr>
          </w:p>
        </w:tc>
        <w:tc>
          <w:tcPr>
            <w:tcW w:w="1500" w:type="dxa"/>
            <w:tcBorders>
              <w:top w:val="nil"/>
              <w:left w:val="nil"/>
              <w:bottom w:val="nil"/>
              <w:right w:val="nil"/>
            </w:tcBorders>
            <w:vAlign w:val="center"/>
          </w:tcPr>
          <w:p w:rsidR="00865DDA" w:rsidRDefault="00865DDA" w:rsidP="00B60A1F">
            <w:pPr>
              <w:rPr>
                <w:sz w:val="2"/>
              </w:rPr>
            </w:pPr>
          </w:p>
        </w:tc>
        <w:tc>
          <w:tcPr>
            <w:tcW w:w="1500" w:type="dxa"/>
            <w:tcBorders>
              <w:top w:val="nil"/>
              <w:left w:val="nil"/>
              <w:bottom w:val="nil"/>
              <w:right w:val="nil"/>
            </w:tcBorders>
            <w:vAlign w:val="center"/>
          </w:tcPr>
          <w:p w:rsidR="00865DDA" w:rsidRDefault="00865DDA" w:rsidP="00B60A1F">
            <w:pPr>
              <w:rPr>
                <w:sz w:val="2"/>
              </w:rPr>
            </w:pPr>
          </w:p>
        </w:tc>
        <w:tc>
          <w:tcPr>
            <w:tcW w:w="3000" w:type="dxa"/>
            <w:tcBorders>
              <w:top w:val="nil"/>
              <w:left w:val="nil"/>
              <w:bottom w:val="nil"/>
              <w:right w:val="nil"/>
            </w:tcBorders>
            <w:vAlign w:val="center"/>
          </w:tcPr>
          <w:p w:rsidR="00865DDA" w:rsidRDefault="00865DDA" w:rsidP="00B60A1F">
            <w:pPr>
              <w:rPr>
                <w:sz w:val="2"/>
              </w:rPr>
            </w:pPr>
          </w:p>
        </w:tc>
      </w:tr>
    </w:tbl>
    <w:p w:rsidR="00865DDA" w:rsidRDefault="00865DDA" w:rsidP="00865DDA">
      <w:pPr>
        <w:pStyle w:val="Normlnywebov"/>
        <w:spacing w:before="0" w:beforeAutospacing="0" w:after="0" w:afterAutospacing="0"/>
        <w:jc w:val="both"/>
        <w:rPr>
          <w:sz w:val="20"/>
          <w:szCs w:val="20"/>
        </w:rPr>
      </w:pPr>
      <w:r>
        <w:rPr>
          <w:sz w:val="20"/>
          <w:szCs w:val="20"/>
        </w:rPr>
        <w:t xml:space="preserve">1 –  príjmy rozpísať až do položiek platnej ekonomickej klasifikácie    </w:t>
      </w: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rPr>
          <w:sz w:val="20"/>
          <w:szCs w:val="20"/>
        </w:rPr>
      </w:pPr>
    </w:p>
    <w:p w:rsidR="00865DDA" w:rsidRDefault="00865DDA" w:rsidP="00865DDA">
      <w:pPr>
        <w:pStyle w:val="Normlnywebov"/>
        <w:spacing w:before="0" w:beforeAutospacing="0" w:after="0" w:afterAutospacing="0"/>
        <w:jc w:val="both"/>
      </w:pPr>
      <w:r>
        <w:rPr>
          <w:sz w:val="20"/>
          <w:szCs w:val="20"/>
        </w:rPr>
        <w:lastRenderedPageBreak/>
        <w:t xml:space="preserve">                                                                                                                                                                                                                                           </w:t>
      </w:r>
      <w:r>
        <w:t xml:space="preserve">Tabuľka č. 5 </w:t>
      </w:r>
    </w:p>
    <w:tbl>
      <w:tblPr>
        <w:tblW w:w="15450" w:type="dxa"/>
        <w:tblInd w:w="-1223" w:type="dxa"/>
        <w:tblCellMar>
          <w:left w:w="0" w:type="dxa"/>
          <w:right w:w="0" w:type="dxa"/>
        </w:tblCellMar>
        <w:tblLook w:val="0000" w:firstRow="0" w:lastRow="0" w:firstColumn="0" w:lastColumn="0" w:noHBand="0" w:noVBand="0"/>
      </w:tblPr>
      <w:tblGrid>
        <w:gridCol w:w="7070"/>
        <w:gridCol w:w="1540"/>
        <w:gridCol w:w="1540"/>
        <w:gridCol w:w="1540"/>
        <w:gridCol w:w="1540"/>
        <w:gridCol w:w="2220"/>
      </w:tblGrid>
      <w:tr w:rsidR="00865DDA" w:rsidTr="00B60A1F">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Default="00865DDA" w:rsidP="00B60A1F">
            <w:pPr>
              <w:pStyle w:val="Normlnywebov"/>
              <w:spacing w:before="0" w:beforeAutospacing="0" w:after="0" w:afterAutospacing="0"/>
              <w:jc w:val="center"/>
            </w:pPr>
            <w:r>
              <w:rPr>
                <w:b/>
                <w:bCs/>
                <w:color w:val="FFFFFF"/>
                <w:sz w:val="20"/>
                <w:szCs w:val="20"/>
              </w:rPr>
              <w:t>Výdavky (v eurách)</w:t>
            </w:r>
          </w:p>
        </w:tc>
        <w:tc>
          <w:tcPr>
            <w:tcW w:w="0" w:type="auto"/>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Default="00865DDA" w:rsidP="00B60A1F">
            <w:pPr>
              <w:pStyle w:val="Normlnywebov"/>
              <w:spacing w:before="0" w:beforeAutospacing="0" w:after="0" w:afterAutospacing="0"/>
              <w:jc w:val="center"/>
            </w:pPr>
            <w:r>
              <w:rPr>
                <w:b/>
                <w:bCs/>
                <w:color w:val="FFFFFF"/>
              </w:rPr>
              <w:t>poznámka</w:t>
            </w:r>
          </w:p>
        </w:tc>
      </w:tr>
      <w:tr w:rsidR="00865DDA" w:rsidTr="00B60A1F">
        <w:trPr>
          <w:trHeight w:val="197"/>
        </w:trPr>
        <w:tc>
          <w:tcPr>
            <w:tcW w:w="0" w:type="auto"/>
            <w:vMerge/>
            <w:tcBorders>
              <w:top w:val="single" w:sz="4" w:space="0" w:color="000000"/>
              <w:left w:val="single" w:sz="4" w:space="0" w:color="000000"/>
              <w:bottom w:val="single" w:sz="4" w:space="0" w:color="000000"/>
              <w:right w:val="single" w:sz="4" w:space="0" w:color="000000"/>
            </w:tcBorders>
            <w:vAlign w:val="center"/>
          </w:tcPr>
          <w:p w:rsidR="00865DDA" w:rsidRDefault="00865DDA" w:rsidP="00B60A1F"/>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sz w:val="20"/>
                <w:szCs w:val="20"/>
              </w:rPr>
              <w:t>r</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sz w:val="20"/>
                <w:szCs w:val="20"/>
              </w:rPr>
              <w:t>r + 1</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sz w:val="20"/>
                <w:szCs w:val="20"/>
              </w:rPr>
              <w:t>r + 2</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r + 3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65DDA" w:rsidRDefault="00865DDA" w:rsidP="00B60A1F"/>
        </w:tc>
      </w:tr>
      <w:tr w:rsidR="00865DDA" w:rsidTr="00B60A1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b/>
                <w:bCs/>
                <w:sz w:val="20"/>
                <w:szCs w:val="20"/>
              </w:rPr>
              <w:t>Bežné výdavky (600)</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50B2E" w:rsidRDefault="00865DDA" w:rsidP="00B60A1F">
            <w:pPr>
              <w:pStyle w:val="Normlnywebov"/>
              <w:spacing w:before="0" w:beforeAutospacing="0" w:after="0" w:afterAutospacing="0"/>
              <w:jc w:val="center"/>
              <w:rPr>
                <w:b/>
              </w:rPr>
            </w:pPr>
            <w:r w:rsidRPr="00350B2E">
              <w:rPr>
                <w:b/>
              </w:rPr>
              <w:t>0</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50B2E" w:rsidRDefault="00865DDA" w:rsidP="00B60A1F">
            <w:pPr>
              <w:pStyle w:val="Normlnywebov"/>
              <w:spacing w:before="0" w:beforeAutospacing="0" w:after="0" w:afterAutospacing="0"/>
              <w:jc w:val="center"/>
              <w:rPr>
                <w:b/>
                <w:sz w:val="20"/>
                <w:szCs w:val="20"/>
              </w:rPr>
            </w:pPr>
            <w:r w:rsidRPr="00350B2E">
              <w:rPr>
                <w:b/>
                <w:sz w:val="20"/>
                <w:szCs w:val="20"/>
              </w:rPr>
              <w:t>1 333 799</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50B2E" w:rsidRDefault="00865DDA" w:rsidP="00B60A1F">
            <w:pPr>
              <w:pStyle w:val="Normlnywebov"/>
              <w:spacing w:before="0" w:beforeAutospacing="0" w:after="0" w:afterAutospacing="0"/>
              <w:jc w:val="center"/>
              <w:rPr>
                <w:b/>
                <w:sz w:val="20"/>
                <w:szCs w:val="20"/>
              </w:rPr>
            </w:pPr>
            <w:r w:rsidRPr="00350B2E">
              <w:rPr>
                <w:b/>
                <w:sz w:val="20"/>
                <w:szCs w:val="20"/>
              </w:rPr>
              <w:t>1 246 719</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50B2E" w:rsidRDefault="00865DDA" w:rsidP="00B60A1F">
            <w:pPr>
              <w:pStyle w:val="Normlnywebov"/>
              <w:spacing w:before="0" w:beforeAutospacing="0" w:after="0" w:afterAutospacing="0"/>
              <w:jc w:val="center"/>
              <w:rPr>
                <w:b/>
                <w:sz w:val="20"/>
                <w:szCs w:val="20"/>
              </w:rPr>
            </w:pPr>
            <w:r w:rsidRPr="00350B2E">
              <w:rPr>
                <w:b/>
                <w:sz w:val="20"/>
                <w:szCs w:val="20"/>
              </w:rPr>
              <w:t>133 799</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sz w:val="20"/>
                <w:szCs w:val="20"/>
              </w:rPr>
              <w:t>  Mzdy, platy, služobné príjmy a ostatné osobné vyrovnania (610)</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0</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sz w:val="20"/>
                <w:szCs w:val="20"/>
              </w:rPr>
            </w:pPr>
            <w:r w:rsidRPr="003D6565">
              <w:rPr>
                <w:sz w:val="20"/>
                <w:szCs w:val="20"/>
              </w:rPr>
              <w:t> </w:t>
            </w:r>
            <w:r w:rsidRPr="003D6565">
              <w:rPr>
                <w:b/>
                <w:bCs/>
                <w:sz w:val="20"/>
                <w:szCs w:val="20"/>
              </w:rPr>
              <w:t> 923 496</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sz w:val="20"/>
                <w:szCs w:val="20"/>
              </w:rPr>
            </w:pPr>
            <w:r w:rsidRPr="003D6565">
              <w:rPr>
                <w:b/>
                <w:bCs/>
                <w:sz w:val="20"/>
                <w:szCs w:val="20"/>
              </w:rPr>
              <w:t>923 496</w:t>
            </w:r>
            <w:r w:rsidRPr="003D6565">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sz w:val="20"/>
                <w:szCs w:val="20"/>
              </w:rPr>
            </w:pPr>
            <w:r w:rsidRPr="003D6565">
              <w:rPr>
                <w:sz w:val="20"/>
                <w:szCs w:val="20"/>
              </w:rPr>
              <w:t> </w:t>
            </w:r>
            <w:r w:rsidRPr="003D6565">
              <w:rPr>
                <w:b/>
                <w:bCs/>
                <w:sz w:val="20"/>
                <w:szCs w:val="20"/>
              </w:rPr>
              <w:t>923 496</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sz w:val="20"/>
                <w:szCs w:val="20"/>
              </w:rPr>
              <w:t>  Poistné a príspevok do poisťovní (620)</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865DDA">
            <w:pPr>
              <w:pStyle w:val="Normlnywebov"/>
              <w:numPr>
                <w:ilvl w:val="0"/>
                <w:numId w:val="10"/>
              </w:numPr>
              <w:spacing w:before="0" w:beforeAutospacing="0" w:after="0" w:afterAutospacing="0"/>
              <w:jc w:val="center"/>
            </w:pP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D6565" w:rsidRDefault="00865DDA" w:rsidP="00865DDA">
            <w:pPr>
              <w:pStyle w:val="Normlnywebov"/>
              <w:numPr>
                <w:ilvl w:val="0"/>
                <w:numId w:val="11"/>
              </w:numPr>
              <w:spacing w:before="0" w:beforeAutospacing="0" w:after="0" w:afterAutospacing="0"/>
              <w:rPr>
                <w:b/>
                <w:sz w:val="20"/>
                <w:szCs w:val="20"/>
              </w:rPr>
            </w:pPr>
            <w:r w:rsidRPr="003D6565">
              <w:rPr>
                <w:b/>
                <w:bCs/>
                <w:sz w:val="20"/>
                <w:szCs w:val="20"/>
              </w:rPr>
              <w:t>223 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D6565" w:rsidRDefault="00865DDA" w:rsidP="00865DDA">
            <w:pPr>
              <w:pStyle w:val="Normlnywebov"/>
              <w:numPr>
                <w:ilvl w:val="0"/>
                <w:numId w:val="12"/>
              </w:numPr>
              <w:spacing w:before="0" w:beforeAutospacing="0" w:after="0" w:afterAutospacing="0"/>
              <w:rPr>
                <w:b/>
                <w:sz w:val="20"/>
                <w:szCs w:val="20"/>
              </w:rPr>
            </w:pPr>
            <w:r w:rsidRPr="003D6565">
              <w:rPr>
                <w:b/>
                <w:bCs/>
                <w:sz w:val="20"/>
                <w:szCs w:val="20"/>
              </w:rPr>
              <w:t>223 </w:t>
            </w:r>
            <w:r w:rsidRPr="003D6565">
              <w:rPr>
                <w:b/>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rPr>
                <w:b/>
                <w:sz w:val="20"/>
                <w:szCs w:val="20"/>
              </w:rPr>
            </w:pPr>
            <w:r w:rsidRPr="003D6565">
              <w:rPr>
                <w:b/>
                <w:bCs/>
                <w:sz w:val="20"/>
                <w:szCs w:val="20"/>
              </w:rPr>
              <w:t xml:space="preserve">      323 223 </w:t>
            </w:r>
            <w:r w:rsidRPr="003D6565">
              <w:rPr>
                <w:b/>
                <w:sz w:val="20"/>
                <w:szCs w:val="20"/>
              </w:rPr>
              <w:t> </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sz w:val="20"/>
                <w:szCs w:val="20"/>
              </w:rPr>
              <w:t>  Tovary a služby (630)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0</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b/>
                <w:sz w:val="20"/>
                <w:szCs w:val="20"/>
              </w:rPr>
            </w:pPr>
            <w:r w:rsidRPr="003D6565">
              <w:rPr>
                <w:b/>
                <w:sz w:val="20"/>
                <w:szCs w:val="20"/>
              </w:rPr>
              <w:t> 87 080</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b/>
                <w:sz w:val="20"/>
                <w:szCs w:val="20"/>
              </w:rPr>
            </w:pPr>
            <w:r w:rsidRPr="003D6565">
              <w:rPr>
                <w:b/>
                <w:sz w:val="20"/>
                <w:szCs w:val="20"/>
              </w:rPr>
              <w:t>0 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b/>
                <w:sz w:val="20"/>
                <w:szCs w:val="20"/>
              </w:rPr>
            </w:pPr>
            <w:r w:rsidRPr="003D6565">
              <w:rPr>
                <w:b/>
                <w:sz w:val="20"/>
                <w:szCs w:val="20"/>
              </w:rPr>
              <w:t> 87 080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865DDA" w:rsidRPr="00BA7FFD" w:rsidRDefault="00865DDA" w:rsidP="00B60A1F">
            <w:pPr>
              <w:pStyle w:val="Normlnywebov"/>
              <w:spacing w:before="0" w:beforeAutospacing="0" w:after="0" w:afterAutospacing="0"/>
              <w:rPr>
                <w:sz w:val="20"/>
                <w:szCs w:val="20"/>
              </w:rPr>
            </w:pPr>
            <w:r>
              <w:t> </w:t>
            </w:r>
            <w:r w:rsidRPr="00BA7FFD">
              <w:rPr>
                <w:sz w:val="20"/>
                <w:szCs w:val="20"/>
              </w:rPr>
              <w:t>Jedná sa o časové pečiatky  a čítačky ktoré je potrebné každé 2 roky obnovovať</w:t>
            </w:r>
          </w:p>
        </w:tc>
      </w:tr>
      <w:tr w:rsidR="00865DDA" w:rsidTr="00B60A1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sz w:val="20"/>
                <w:szCs w:val="20"/>
              </w:rPr>
              <w:t>  Bežné transfery (640)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t> </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65DDA" w:rsidRDefault="00865DDA" w:rsidP="00B60A1F">
            <w:pPr>
              <w:pStyle w:val="Normlnywebov"/>
              <w:spacing w:before="0" w:beforeAutospacing="0" w:after="0" w:afterAutospacing="0"/>
            </w:pPr>
            <w:r>
              <w:rPr>
                <w:sz w:val="20"/>
                <w:szCs w:val="20"/>
              </w:rPr>
              <w:t>  Splácanie úrokov a ostatné platby súvisiace s úvermi, pôžičkami a NFV (650)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t> </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b/>
                <w:bCs/>
                <w:sz w:val="20"/>
                <w:szCs w:val="20"/>
              </w:rPr>
              <w:t>Kapitálové výdavky (700)</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sz w:val="20"/>
                <w:szCs w:val="20"/>
              </w:rPr>
              <w:t>  Obstarávanie kapitálových aktív (710)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t> </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sz w:val="20"/>
                <w:szCs w:val="20"/>
              </w:rPr>
              <w:t>  Kapitálové transfery (720)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sz w:val="20"/>
                <w:szCs w:val="20"/>
              </w:rPr>
              <w:t>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t> </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b/>
                <w:bCs/>
                <w:sz w:val="20"/>
                <w:szCs w:val="20"/>
              </w:rPr>
              <w:t>Výdavky z transakcií s finančnými aktívami a finančnými pasívami (800)</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left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pPr>
            <w:r>
              <w:rPr>
                <w:b/>
                <w:bCs/>
                <w:color w:val="FFFFFF"/>
                <w:sz w:val="20"/>
                <w:szCs w:val="20"/>
              </w:rPr>
              <w:t>Dopad na výdavky verejnej správy celkom</w:t>
            </w:r>
          </w:p>
        </w:tc>
        <w:tc>
          <w:tcPr>
            <w:tcW w:w="1540" w:type="dxa"/>
            <w:tcBorders>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sz w:val="20"/>
                <w:szCs w:val="20"/>
              </w:rPr>
              <w:t> 0</w:t>
            </w:r>
          </w:p>
        </w:tc>
        <w:tc>
          <w:tcPr>
            <w:tcW w:w="1540" w:type="dxa"/>
            <w:tcBorders>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sz w:val="20"/>
                <w:szCs w:val="20"/>
              </w:rPr>
              <w:t> 1 333 799 </w:t>
            </w:r>
          </w:p>
        </w:tc>
        <w:tc>
          <w:tcPr>
            <w:tcW w:w="1540" w:type="dxa"/>
            <w:tcBorders>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sz w:val="20"/>
                <w:szCs w:val="20"/>
              </w:rPr>
              <w:t> 1  246 719 </w:t>
            </w:r>
          </w:p>
        </w:tc>
        <w:tc>
          <w:tcPr>
            <w:tcW w:w="1540" w:type="dxa"/>
            <w:tcBorders>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 </w:t>
            </w:r>
            <w:r>
              <w:rPr>
                <w:b/>
                <w:bCs/>
                <w:color w:val="FFFFFF"/>
                <w:sz w:val="20"/>
                <w:szCs w:val="20"/>
              </w:rPr>
              <w:t>1 333 799 </w:t>
            </w:r>
          </w:p>
        </w:tc>
        <w:tc>
          <w:tcPr>
            <w:tcW w:w="2220" w:type="dxa"/>
            <w:tcBorders>
              <w:right w:val="single" w:sz="4" w:space="0" w:color="000000"/>
            </w:tcBorders>
            <w:shd w:val="clear" w:color="auto" w:fill="000000"/>
            <w:tcMar>
              <w:top w:w="0" w:type="dxa"/>
              <w:left w:w="70" w:type="dxa"/>
              <w:bottom w:w="0" w:type="dxa"/>
              <w:right w:w="70" w:type="dxa"/>
            </w:tcMar>
            <w:vAlign w:val="bottom"/>
          </w:tcPr>
          <w:p w:rsidR="00865DDA" w:rsidRDefault="00865DDA" w:rsidP="00B60A1F">
            <w:pPr>
              <w:pStyle w:val="Normlnywebov"/>
              <w:spacing w:before="0" w:beforeAutospacing="0" w:after="0" w:afterAutospacing="0"/>
            </w:pPr>
            <w:r>
              <w:rPr>
                <w:color w:val="FFFFFF"/>
              </w:rPr>
              <w:t> </w:t>
            </w:r>
          </w:p>
        </w:tc>
      </w:tr>
      <w:tr w:rsidR="00865DDA" w:rsidTr="00B60A1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b/>
                <w:bCs/>
                <w:sz w:val="20"/>
                <w:szCs w:val="20"/>
              </w:rPr>
              <w:t>  z toho výdavky na ŠR</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0</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pPr>
            <w:r>
              <w:rPr>
                <w:b/>
                <w:bCs/>
                <w:sz w:val="20"/>
                <w:szCs w:val="20"/>
              </w:rPr>
              <w:t>1 333 799</w:t>
            </w:r>
            <w:r>
              <w:rPr>
                <w:b/>
                <w:bCs/>
                <w:color w:val="FFFFFF"/>
                <w:sz w:val="20"/>
                <w:szCs w:val="20"/>
              </w:rPr>
              <w:t>3 7199 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1 246 719 </w:t>
            </w:r>
          </w:p>
        </w:tc>
        <w:tc>
          <w:tcPr>
            <w:tcW w:w="1540" w:type="dxa"/>
            <w:tcBorders>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sz w:val="20"/>
                <w:szCs w:val="20"/>
              </w:rPr>
            </w:pPr>
            <w:r w:rsidRPr="003D6565">
              <w:rPr>
                <w:b/>
                <w:bCs/>
                <w:sz w:val="20"/>
                <w:szCs w:val="20"/>
              </w:rPr>
              <w:t>1 333 799 </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sz w:val="20"/>
                <w:szCs w:val="20"/>
              </w:rPr>
              <w:t>   Bežné výdavky</w:t>
            </w:r>
            <w:r>
              <w:rPr>
                <w:b/>
                <w:bCs/>
                <w:sz w:val="20"/>
                <w:szCs w:val="20"/>
              </w:rPr>
              <w:t xml:space="preserve"> </w:t>
            </w:r>
            <w:r>
              <w:rPr>
                <w:sz w:val="20"/>
                <w:szCs w:val="20"/>
              </w:rPr>
              <w:t>(600)</w:t>
            </w:r>
            <w:r>
              <w:rPr>
                <w:b/>
                <w:bCs/>
                <w:sz w:val="20"/>
                <w:szCs w:val="20"/>
              </w:rPr>
              <w:t xml:space="preserve">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0 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1 333 799 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Pr="005B6F2A" w:rsidRDefault="00865DDA" w:rsidP="00B60A1F">
            <w:pPr>
              <w:pStyle w:val="Normlnywebov"/>
              <w:spacing w:before="0" w:beforeAutospacing="0" w:after="0" w:afterAutospacing="0"/>
              <w:jc w:val="center"/>
              <w:rPr>
                <w:b/>
                <w:sz w:val="20"/>
                <w:szCs w:val="20"/>
              </w:rPr>
            </w:pPr>
            <w:r w:rsidRPr="005B6F2A">
              <w:rPr>
                <w:b/>
                <w:sz w:val="20"/>
                <w:szCs w:val="20"/>
              </w:rPr>
              <w:t>1 246 719</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1 333 799</w:t>
            </w:r>
            <w:r>
              <w:rPr>
                <w:b/>
                <w:bCs/>
              </w:rPr>
              <w:t> </w:t>
            </w: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b/>
                <w:bCs/>
                <w:sz w:val="20"/>
                <w:szCs w:val="20"/>
              </w:rPr>
              <w:t>    </w:t>
            </w:r>
            <w:r>
              <w:rPr>
                <w:sz w:val="20"/>
                <w:szCs w:val="20"/>
              </w:rPr>
              <w:t>Mzdy, platy, služobné príjmy a ostatné osobné vyrovnania (610)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sz w:val="20"/>
                <w:szCs w:val="20"/>
              </w:rPr>
            </w:pPr>
            <w:r w:rsidRPr="003D6565">
              <w:rPr>
                <w:b/>
                <w:bCs/>
                <w:sz w:val="20"/>
                <w:szCs w:val="20"/>
              </w:rPr>
              <w:t>923 496 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sz w:val="20"/>
                <w:szCs w:val="20"/>
              </w:rPr>
            </w:pPr>
            <w:r w:rsidRPr="003D6565">
              <w:rPr>
                <w:b/>
                <w:bCs/>
                <w:sz w:val="20"/>
                <w:szCs w:val="20"/>
              </w:rPr>
              <w:t>923 496 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Pr="003D6565" w:rsidRDefault="00865DDA" w:rsidP="00B60A1F">
            <w:pPr>
              <w:pStyle w:val="Normlnywebov"/>
              <w:spacing w:before="0" w:beforeAutospacing="0" w:after="0" w:afterAutospacing="0"/>
              <w:jc w:val="center"/>
              <w:rPr>
                <w:sz w:val="20"/>
                <w:szCs w:val="20"/>
              </w:rPr>
            </w:pPr>
            <w:r w:rsidRPr="003D6565">
              <w:rPr>
                <w:b/>
                <w:bCs/>
                <w:sz w:val="20"/>
                <w:szCs w:val="20"/>
              </w:rPr>
              <w:t>923 496 </w:t>
            </w: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sz w:val="20"/>
                <w:szCs w:val="20"/>
              </w:rPr>
              <w:t>    Kapitálové výdavky (700)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pPr>
            <w:r>
              <w:rPr>
                <w:sz w:val="20"/>
                <w:szCs w:val="20"/>
              </w:rPr>
              <w:t>    Výdavky z transakcií s finančnými aktívami a finančnými pasívami (800)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sz w:val="20"/>
                <w:szCs w:val="20"/>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w:t>
            </w: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c>
          <w:tcPr>
            <w:tcW w:w="7070" w:type="dxa"/>
            <w:tcBorders>
              <w:top w:val="nil"/>
              <w:left w:val="nil"/>
              <w:bottom w:val="nil"/>
              <w:right w:val="nil"/>
            </w:tcBorders>
            <w:vAlign w:val="center"/>
          </w:tcPr>
          <w:p w:rsidR="00865DDA" w:rsidRDefault="00865DDA" w:rsidP="00B60A1F">
            <w:pPr>
              <w:rPr>
                <w:sz w:val="2"/>
              </w:rPr>
            </w:pPr>
          </w:p>
        </w:tc>
        <w:tc>
          <w:tcPr>
            <w:tcW w:w="1540" w:type="dxa"/>
            <w:tcBorders>
              <w:top w:val="nil"/>
              <w:left w:val="nil"/>
              <w:bottom w:val="nil"/>
              <w:right w:val="nil"/>
            </w:tcBorders>
            <w:vAlign w:val="center"/>
          </w:tcPr>
          <w:p w:rsidR="00865DDA" w:rsidRDefault="00865DDA" w:rsidP="00B60A1F">
            <w:pPr>
              <w:rPr>
                <w:sz w:val="2"/>
              </w:rPr>
            </w:pPr>
          </w:p>
        </w:tc>
        <w:tc>
          <w:tcPr>
            <w:tcW w:w="1540" w:type="dxa"/>
            <w:tcBorders>
              <w:top w:val="nil"/>
              <w:left w:val="nil"/>
              <w:bottom w:val="nil"/>
              <w:right w:val="nil"/>
            </w:tcBorders>
            <w:vAlign w:val="center"/>
          </w:tcPr>
          <w:p w:rsidR="00865DDA" w:rsidRDefault="00865DDA" w:rsidP="00B60A1F">
            <w:pPr>
              <w:rPr>
                <w:sz w:val="2"/>
              </w:rPr>
            </w:pPr>
          </w:p>
        </w:tc>
        <w:tc>
          <w:tcPr>
            <w:tcW w:w="1540" w:type="dxa"/>
            <w:tcBorders>
              <w:top w:val="nil"/>
              <w:left w:val="nil"/>
              <w:bottom w:val="nil"/>
              <w:right w:val="nil"/>
            </w:tcBorders>
            <w:vAlign w:val="center"/>
          </w:tcPr>
          <w:p w:rsidR="00865DDA" w:rsidRDefault="00865DDA" w:rsidP="00B60A1F">
            <w:pPr>
              <w:rPr>
                <w:sz w:val="2"/>
              </w:rPr>
            </w:pPr>
          </w:p>
        </w:tc>
        <w:tc>
          <w:tcPr>
            <w:tcW w:w="1540" w:type="dxa"/>
            <w:tcBorders>
              <w:top w:val="nil"/>
              <w:left w:val="nil"/>
              <w:bottom w:val="nil"/>
              <w:right w:val="nil"/>
            </w:tcBorders>
            <w:vAlign w:val="center"/>
          </w:tcPr>
          <w:p w:rsidR="00865DDA" w:rsidRDefault="00865DDA" w:rsidP="00B60A1F">
            <w:pPr>
              <w:rPr>
                <w:sz w:val="2"/>
              </w:rPr>
            </w:pPr>
          </w:p>
        </w:tc>
        <w:tc>
          <w:tcPr>
            <w:tcW w:w="2220" w:type="dxa"/>
            <w:tcBorders>
              <w:top w:val="nil"/>
              <w:left w:val="nil"/>
              <w:bottom w:val="nil"/>
              <w:right w:val="nil"/>
            </w:tcBorders>
            <w:vAlign w:val="center"/>
          </w:tcPr>
          <w:p w:rsidR="00865DDA" w:rsidRDefault="00865DDA" w:rsidP="00B60A1F">
            <w:pPr>
              <w:rPr>
                <w:sz w:val="2"/>
              </w:rPr>
            </w:pPr>
          </w:p>
        </w:tc>
      </w:tr>
    </w:tbl>
    <w:p w:rsidR="00865DDA" w:rsidRDefault="00865DDA" w:rsidP="00865DDA">
      <w:pPr>
        <w:pStyle w:val="Normlnywebov"/>
        <w:spacing w:before="0" w:beforeAutospacing="0" w:after="0" w:afterAutospacing="0"/>
        <w:jc w:val="both"/>
      </w:pPr>
      <w:r>
        <w:rPr>
          <w:sz w:val="20"/>
          <w:szCs w:val="20"/>
        </w:rPr>
        <w:t>2 –  výdavky rozpísať až do položiek platnej ekonomickej klasifikácie</w:t>
      </w:r>
    </w:p>
    <w:p w:rsidR="00865DDA" w:rsidRDefault="00865DDA" w:rsidP="00865DDA">
      <w:pPr>
        <w:pStyle w:val="Normlnywebov"/>
        <w:spacing w:before="0" w:beforeAutospacing="0" w:after="0" w:afterAutospacing="0"/>
        <w:jc w:val="both"/>
      </w:pPr>
      <w:r>
        <w:rPr>
          <w:sz w:val="20"/>
          <w:szCs w:val="20"/>
        </w:rPr>
        <w:t xml:space="preserve">                                                                                                                                                                                                                       </w:t>
      </w:r>
      <w:r>
        <w:t xml:space="preserve">                 </w:t>
      </w:r>
    </w:p>
    <w:p w:rsidR="00865DDA" w:rsidRDefault="00865DDA" w:rsidP="00865DDA">
      <w:pPr>
        <w:pStyle w:val="Normlnywebov"/>
        <w:spacing w:before="0" w:beforeAutospacing="0" w:after="0" w:afterAutospacing="0"/>
        <w:jc w:val="both"/>
      </w:pPr>
    </w:p>
    <w:p w:rsidR="00865DDA" w:rsidRDefault="00865DDA" w:rsidP="00865DDA">
      <w:pPr>
        <w:pStyle w:val="Normlnywebov"/>
        <w:spacing w:before="0" w:beforeAutospacing="0" w:after="0" w:afterAutospacing="0"/>
        <w:jc w:val="both"/>
      </w:pPr>
    </w:p>
    <w:p w:rsidR="00865DDA" w:rsidRDefault="00865DDA" w:rsidP="00865DDA">
      <w:pPr>
        <w:pStyle w:val="Normlnywebov"/>
        <w:spacing w:before="0" w:beforeAutospacing="0" w:after="0" w:afterAutospacing="0"/>
        <w:jc w:val="both"/>
      </w:pPr>
    </w:p>
    <w:p w:rsidR="00865DDA" w:rsidRDefault="00865DDA" w:rsidP="00865DDA">
      <w:pPr>
        <w:pStyle w:val="Normlnywebov"/>
        <w:spacing w:before="0" w:beforeAutospacing="0" w:after="0" w:afterAutospacing="0"/>
        <w:jc w:val="both"/>
      </w:pPr>
    </w:p>
    <w:p w:rsidR="00865DDA" w:rsidRDefault="00865DDA" w:rsidP="00865DDA">
      <w:pPr>
        <w:pStyle w:val="Normlnywebov"/>
        <w:spacing w:before="0" w:beforeAutospacing="0" w:after="0" w:afterAutospacing="0"/>
        <w:jc w:val="both"/>
      </w:pPr>
    </w:p>
    <w:p w:rsidR="00865DDA" w:rsidRDefault="00865DDA" w:rsidP="00865DDA">
      <w:pPr>
        <w:pStyle w:val="Normlnywebov"/>
        <w:spacing w:before="0" w:beforeAutospacing="0" w:after="0" w:afterAutospacing="0"/>
        <w:jc w:val="both"/>
      </w:pPr>
    </w:p>
    <w:p w:rsidR="00865DDA" w:rsidRDefault="00865DDA" w:rsidP="00865DDA">
      <w:pPr>
        <w:pStyle w:val="Normlnywebov"/>
        <w:spacing w:before="0" w:beforeAutospacing="0" w:after="0" w:afterAutospacing="0"/>
        <w:jc w:val="both"/>
      </w:pPr>
    </w:p>
    <w:p w:rsidR="00865DDA" w:rsidRDefault="00865DDA" w:rsidP="00865DDA">
      <w:pPr>
        <w:pStyle w:val="Normlnywebov"/>
        <w:spacing w:before="0" w:beforeAutospacing="0" w:after="0" w:afterAutospacing="0"/>
        <w:jc w:val="both"/>
      </w:pPr>
    </w:p>
    <w:p w:rsidR="00865DDA" w:rsidRDefault="00865DDA" w:rsidP="00865DDA">
      <w:pPr>
        <w:pStyle w:val="Normlnywebov"/>
        <w:spacing w:before="0" w:beforeAutospacing="0" w:after="0" w:afterAutospacing="0"/>
        <w:jc w:val="both"/>
      </w:pPr>
    </w:p>
    <w:p w:rsidR="00865DDA" w:rsidRDefault="00865DDA" w:rsidP="00865DDA">
      <w:pPr>
        <w:pStyle w:val="Normlnywebov"/>
        <w:spacing w:before="0" w:beforeAutospacing="0" w:after="0" w:afterAutospacing="0"/>
        <w:jc w:val="both"/>
      </w:pPr>
    </w:p>
    <w:p w:rsidR="00865DDA" w:rsidRDefault="00865DDA" w:rsidP="00865DDA">
      <w:pPr>
        <w:pStyle w:val="Normlnywebov"/>
        <w:spacing w:before="0" w:beforeAutospacing="0" w:after="0" w:afterAutospacing="0"/>
        <w:jc w:val="both"/>
      </w:pPr>
      <w:r>
        <w:lastRenderedPageBreak/>
        <w:t xml:space="preserve">Tabuľka č. 6 </w:t>
      </w:r>
    </w:p>
    <w:tbl>
      <w:tblPr>
        <w:tblpPr w:leftFromText="141" w:rightFromText="141" w:vertAnchor="text" w:horzAnchor="margin" w:tblpXSpec="center" w:tblpY="170"/>
        <w:tblW w:w="15114" w:type="dxa"/>
        <w:tblCellMar>
          <w:left w:w="0" w:type="dxa"/>
          <w:right w:w="0" w:type="dxa"/>
        </w:tblCellMar>
        <w:tblLook w:val="0000" w:firstRow="0" w:lastRow="0" w:firstColumn="0" w:lastColumn="0" w:noHBand="0" w:noVBand="0"/>
      </w:tblPr>
      <w:tblGrid>
        <w:gridCol w:w="5385"/>
        <w:gridCol w:w="1341"/>
        <w:gridCol w:w="1978"/>
        <w:gridCol w:w="543"/>
        <w:gridCol w:w="1442"/>
        <w:gridCol w:w="2108"/>
        <w:gridCol w:w="867"/>
        <w:gridCol w:w="1450"/>
      </w:tblGrid>
      <w:tr w:rsidR="00865DDA" w:rsidTr="00B60A1F">
        <w:trPr>
          <w:trHeight w:val="255"/>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Default="00865DDA" w:rsidP="00B60A1F">
            <w:pPr>
              <w:pStyle w:val="Normlnywebov"/>
              <w:spacing w:before="0" w:beforeAutospacing="0" w:after="0" w:afterAutospacing="0"/>
              <w:jc w:val="center"/>
            </w:pPr>
            <w:r>
              <w:rPr>
                <w:b/>
                <w:bCs/>
                <w:color w:val="FFFFFF"/>
              </w:rPr>
              <w:t>Zamestnanosť</w:t>
            </w:r>
          </w:p>
        </w:tc>
        <w:tc>
          <w:tcPr>
            <w:tcW w:w="0" w:type="auto"/>
            <w:gridSpan w:val="5"/>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865DDA" w:rsidRDefault="00865DDA" w:rsidP="00B60A1F">
            <w:pPr>
              <w:pStyle w:val="Normlnywebov"/>
              <w:spacing w:before="0" w:beforeAutospacing="0" w:after="0" w:afterAutospacing="0"/>
              <w:jc w:val="center"/>
            </w:pPr>
            <w:r>
              <w:rPr>
                <w:b/>
                <w:bCs/>
                <w:color w:val="FFFFFF"/>
              </w:rPr>
              <w:t>poznámka</w:t>
            </w:r>
          </w:p>
        </w:tc>
      </w:tr>
      <w:tr w:rsidR="00865DDA" w:rsidTr="00B60A1F">
        <w:trPr>
          <w:trHeight w:val="255"/>
        </w:trPr>
        <w:tc>
          <w:tcPr>
            <w:tcW w:w="5385" w:type="dxa"/>
            <w:vMerge/>
            <w:tcBorders>
              <w:top w:val="single" w:sz="4" w:space="0" w:color="000000"/>
              <w:left w:val="single" w:sz="4" w:space="0" w:color="000000"/>
              <w:bottom w:val="single" w:sz="4" w:space="0" w:color="000000"/>
              <w:right w:val="single" w:sz="4" w:space="0" w:color="000000"/>
            </w:tcBorders>
            <w:vAlign w:val="center"/>
          </w:tcPr>
          <w:p w:rsidR="00865DDA" w:rsidRDefault="00865DDA" w:rsidP="00B60A1F"/>
        </w:tc>
        <w:tc>
          <w:tcPr>
            <w:tcW w:w="1341"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r</w:t>
            </w:r>
          </w:p>
        </w:tc>
        <w:tc>
          <w:tcPr>
            <w:tcW w:w="1978"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r + 1</w:t>
            </w:r>
          </w:p>
        </w:tc>
        <w:tc>
          <w:tcPr>
            <w:tcW w:w="0" w:type="auto"/>
            <w:gridSpan w:val="2"/>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r + 2</w:t>
            </w:r>
          </w:p>
        </w:tc>
        <w:tc>
          <w:tcPr>
            <w:tcW w:w="2108"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r + 3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865DDA" w:rsidRDefault="00865DDA" w:rsidP="00B60A1F"/>
        </w:tc>
      </w:tr>
      <w:tr w:rsidR="00865DDA" w:rsidTr="00B60A1F">
        <w:trPr>
          <w:trHeight w:val="255"/>
        </w:trPr>
        <w:tc>
          <w:tcPr>
            <w:tcW w:w="5385" w:type="dxa"/>
            <w:tcBorders>
              <w:left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Počet zamestnancov celkom*</w:t>
            </w:r>
          </w:p>
        </w:tc>
        <w:tc>
          <w:tcPr>
            <w:tcW w:w="1341" w:type="dxa"/>
            <w:tcBorders>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 0</w:t>
            </w:r>
          </w:p>
        </w:tc>
        <w:tc>
          <w:tcPr>
            <w:tcW w:w="1978" w:type="dxa"/>
            <w:tcBorders>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98</w:t>
            </w:r>
          </w:p>
        </w:tc>
        <w:tc>
          <w:tcPr>
            <w:tcW w:w="0" w:type="auto"/>
            <w:gridSpan w:val="2"/>
            <w:tcBorders>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98</w:t>
            </w:r>
          </w:p>
        </w:tc>
        <w:tc>
          <w:tcPr>
            <w:tcW w:w="2108"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98</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5385" w:type="dxa"/>
            <w:tcBorders>
              <w:left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   z toho vplyv na ŠR</w:t>
            </w:r>
          </w:p>
        </w:tc>
        <w:tc>
          <w:tcPr>
            <w:tcW w:w="1341" w:type="dxa"/>
            <w:tcBorders>
              <w:top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 0 </w:t>
            </w:r>
          </w:p>
        </w:tc>
        <w:tc>
          <w:tcPr>
            <w:tcW w:w="1978" w:type="dxa"/>
            <w:tcBorders>
              <w:top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 98</w:t>
            </w:r>
          </w:p>
        </w:tc>
        <w:tc>
          <w:tcPr>
            <w:tcW w:w="0" w:type="auto"/>
            <w:gridSpan w:val="2"/>
            <w:tcBorders>
              <w:top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 98</w:t>
            </w:r>
          </w:p>
        </w:tc>
        <w:tc>
          <w:tcPr>
            <w:tcW w:w="2108"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98</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5385" w:type="dxa"/>
            <w:tcBorders>
              <w:left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Priemerný mzdový výdavok (v eurách)*</w:t>
            </w:r>
          </w:p>
        </w:tc>
        <w:tc>
          <w:tcPr>
            <w:tcW w:w="1341" w:type="dxa"/>
            <w:tcBorders>
              <w:top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0  </w:t>
            </w:r>
          </w:p>
        </w:tc>
        <w:tc>
          <w:tcPr>
            <w:tcW w:w="1978" w:type="dxa"/>
            <w:tcBorders>
              <w:top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  98</w:t>
            </w:r>
          </w:p>
        </w:tc>
        <w:tc>
          <w:tcPr>
            <w:tcW w:w="0" w:type="auto"/>
            <w:gridSpan w:val="2"/>
            <w:tcBorders>
              <w:top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  98</w:t>
            </w:r>
          </w:p>
        </w:tc>
        <w:tc>
          <w:tcPr>
            <w:tcW w:w="2108"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98</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5385" w:type="dxa"/>
            <w:tcBorders>
              <w:left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   z toho vplyv na ŠR</w:t>
            </w:r>
          </w:p>
        </w:tc>
        <w:tc>
          <w:tcPr>
            <w:tcW w:w="1341" w:type="dxa"/>
            <w:tcBorders>
              <w:top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t> </w:t>
            </w:r>
            <w:r>
              <w:rPr>
                <w:b/>
                <w:bCs/>
              </w:rPr>
              <w:t>0 </w:t>
            </w:r>
          </w:p>
        </w:tc>
        <w:tc>
          <w:tcPr>
            <w:tcW w:w="1978" w:type="dxa"/>
            <w:tcBorders>
              <w:top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 xml:space="preserve">  98</w:t>
            </w:r>
            <w:r>
              <w:t> </w:t>
            </w:r>
          </w:p>
        </w:tc>
        <w:tc>
          <w:tcPr>
            <w:tcW w:w="0" w:type="auto"/>
            <w:gridSpan w:val="2"/>
            <w:tcBorders>
              <w:top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 98</w:t>
            </w:r>
            <w:r>
              <w:t> </w:t>
            </w:r>
          </w:p>
        </w:tc>
        <w:tc>
          <w:tcPr>
            <w:tcW w:w="2108" w:type="dxa"/>
            <w:tcBorders>
              <w:top w:val="single" w:sz="4" w:space="0" w:color="000000"/>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 xml:space="preserve">  98</w:t>
            </w:r>
            <w:r>
              <w:t> </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5385" w:type="dxa"/>
            <w:tcBorders>
              <w:left w:val="single" w:sz="4" w:space="0" w:color="000000"/>
              <w:bottom w:val="single" w:sz="4" w:space="0" w:color="000000"/>
              <w:right w:val="single" w:sz="4" w:space="0" w:color="000000"/>
            </w:tcBorders>
            <w:shd w:val="clear" w:color="auto" w:fill="000000"/>
          </w:tcPr>
          <w:p w:rsidR="00865DDA" w:rsidRDefault="00865DDA" w:rsidP="00B60A1F">
            <w:pPr>
              <w:pStyle w:val="Normlnywebov"/>
              <w:spacing w:before="0" w:beforeAutospacing="0" w:after="0" w:afterAutospacing="0"/>
            </w:pPr>
            <w:r>
              <w:rPr>
                <w:b/>
                <w:bCs/>
                <w:color w:val="FFFFFF"/>
              </w:rPr>
              <w:t>Osobné výdavky celkom (v eurách)</w:t>
            </w:r>
          </w:p>
        </w:tc>
        <w:tc>
          <w:tcPr>
            <w:tcW w:w="1341" w:type="dxa"/>
            <w:tcBorders>
              <w:bottom w:val="single" w:sz="4" w:space="0" w:color="000000"/>
              <w:right w:val="single" w:sz="4" w:space="0" w:color="000000"/>
            </w:tcBorders>
            <w:shd w:val="clear" w:color="auto" w:fill="000000"/>
          </w:tcPr>
          <w:p w:rsidR="00865DDA" w:rsidRDefault="00865DDA" w:rsidP="00B60A1F">
            <w:pPr>
              <w:pStyle w:val="Normlnywebov"/>
              <w:spacing w:before="0" w:beforeAutospacing="0" w:after="0" w:afterAutospacing="0"/>
              <w:jc w:val="center"/>
            </w:pPr>
            <w:r>
              <w:rPr>
                <w:b/>
                <w:bCs/>
                <w:color w:val="FFFFFF"/>
              </w:rPr>
              <w:t> </w:t>
            </w:r>
          </w:p>
        </w:tc>
        <w:tc>
          <w:tcPr>
            <w:tcW w:w="1978" w:type="dxa"/>
            <w:tcBorders>
              <w:bottom w:val="single" w:sz="4" w:space="0" w:color="000000"/>
              <w:right w:val="single" w:sz="4" w:space="0" w:color="000000"/>
            </w:tcBorders>
            <w:shd w:val="clear" w:color="auto" w:fill="000000"/>
          </w:tcPr>
          <w:p w:rsidR="00865DDA" w:rsidRDefault="00865DDA" w:rsidP="00B60A1F">
            <w:pPr>
              <w:pStyle w:val="Normlnywebov"/>
              <w:spacing w:before="0" w:beforeAutospacing="0" w:after="0" w:afterAutospacing="0"/>
              <w:jc w:val="center"/>
            </w:pPr>
            <w:r>
              <w:rPr>
                <w:b/>
                <w:bCs/>
                <w:color w:val="FFFFFF"/>
              </w:rPr>
              <w:t> </w:t>
            </w:r>
          </w:p>
        </w:tc>
        <w:tc>
          <w:tcPr>
            <w:tcW w:w="0" w:type="auto"/>
            <w:gridSpan w:val="2"/>
            <w:tcBorders>
              <w:bottom w:val="single" w:sz="4" w:space="0" w:color="000000"/>
              <w:right w:val="single" w:sz="4" w:space="0" w:color="000000"/>
            </w:tcBorders>
            <w:shd w:val="clear" w:color="auto" w:fill="000000"/>
          </w:tcPr>
          <w:p w:rsidR="00865DDA" w:rsidRDefault="00865DDA" w:rsidP="00B60A1F">
            <w:pPr>
              <w:pStyle w:val="Normlnywebov"/>
              <w:spacing w:before="0" w:beforeAutospacing="0" w:after="0" w:afterAutospacing="0"/>
              <w:jc w:val="center"/>
            </w:pPr>
            <w:r>
              <w:rPr>
                <w:b/>
                <w:bCs/>
                <w:color w:val="FFFFFF"/>
              </w:rPr>
              <w:t> </w:t>
            </w:r>
          </w:p>
        </w:tc>
        <w:tc>
          <w:tcPr>
            <w:tcW w:w="2108" w:type="dxa"/>
            <w:tcBorders>
              <w:bottom w:val="single" w:sz="4" w:space="0" w:color="000000"/>
              <w:right w:val="single" w:sz="4" w:space="0" w:color="000000"/>
            </w:tcBorders>
            <w:shd w:val="clear" w:color="auto" w:fill="000000"/>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color w:val="FFFFFF"/>
              </w:rPr>
              <w:t> </w:t>
            </w:r>
          </w:p>
        </w:tc>
        <w:tc>
          <w:tcPr>
            <w:tcW w:w="0" w:type="auto"/>
            <w:gridSpan w:val="2"/>
            <w:tcBorders>
              <w:bottom w:val="single" w:sz="4" w:space="0" w:color="000000"/>
              <w:right w:val="single" w:sz="4" w:space="0" w:color="000000"/>
            </w:tcBorders>
            <w:shd w:val="clear" w:color="auto" w:fill="000000"/>
            <w:tcMar>
              <w:top w:w="0" w:type="dxa"/>
              <w:left w:w="70" w:type="dxa"/>
              <w:bottom w:w="0" w:type="dxa"/>
              <w:right w:w="70" w:type="dxa"/>
            </w:tcMar>
            <w:vAlign w:val="bottom"/>
          </w:tcPr>
          <w:p w:rsidR="00865DDA" w:rsidRDefault="00865DDA" w:rsidP="00B60A1F">
            <w:pPr>
              <w:pStyle w:val="Normlnywebov"/>
              <w:spacing w:before="0" w:beforeAutospacing="0" w:after="0" w:afterAutospacing="0"/>
            </w:pPr>
            <w:r>
              <w:rPr>
                <w:b/>
                <w:bCs/>
                <w:color w:val="FFFFFF"/>
              </w:rPr>
              <w:t> </w:t>
            </w:r>
          </w:p>
        </w:tc>
      </w:tr>
      <w:tr w:rsidR="00865DDA" w:rsidTr="00B60A1F">
        <w:trPr>
          <w:trHeight w:val="255"/>
        </w:trPr>
        <w:tc>
          <w:tcPr>
            <w:tcW w:w="5385" w:type="dxa"/>
            <w:tcBorders>
              <w:left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 xml:space="preserve">Mzdy, platy, služobné príjmy a ostatné osobné vyrovnania (610)* </w:t>
            </w:r>
          </w:p>
        </w:tc>
        <w:tc>
          <w:tcPr>
            <w:tcW w:w="1341" w:type="dxa"/>
            <w:tcBorders>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0 </w:t>
            </w:r>
          </w:p>
        </w:tc>
        <w:tc>
          <w:tcPr>
            <w:tcW w:w="1978" w:type="dxa"/>
            <w:tcBorders>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923 496</w:t>
            </w:r>
          </w:p>
        </w:tc>
        <w:tc>
          <w:tcPr>
            <w:tcW w:w="0" w:type="auto"/>
            <w:gridSpan w:val="2"/>
            <w:tcBorders>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rPr>
                <w:b/>
                <w:bCs/>
              </w:rPr>
              <w:t>923 496</w:t>
            </w:r>
          </w:p>
        </w:tc>
        <w:tc>
          <w:tcPr>
            <w:tcW w:w="2108"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rPr>
                <w:b/>
                <w:bCs/>
              </w:rPr>
              <w:t>923 496</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rPr>
                <w:b/>
                <w:bCs/>
              </w:rPr>
              <w:t> </w:t>
            </w:r>
          </w:p>
        </w:tc>
      </w:tr>
      <w:tr w:rsidR="00865DDA" w:rsidTr="00B60A1F">
        <w:trPr>
          <w:trHeight w:val="255"/>
        </w:trPr>
        <w:tc>
          <w:tcPr>
            <w:tcW w:w="5385" w:type="dxa"/>
            <w:tcBorders>
              <w:left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   z toho vplyv na ŠR</w:t>
            </w:r>
          </w:p>
        </w:tc>
        <w:tc>
          <w:tcPr>
            <w:tcW w:w="1341" w:type="dxa"/>
            <w:tcBorders>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t> </w:t>
            </w:r>
            <w:r>
              <w:rPr>
                <w:b/>
                <w:bCs/>
              </w:rPr>
              <w:t>0 </w:t>
            </w:r>
          </w:p>
        </w:tc>
        <w:tc>
          <w:tcPr>
            <w:tcW w:w="1978" w:type="dxa"/>
            <w:tcBorders>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t> </w:t>
            </w:r>
            <w:r>
              <w:rPr>
                <w:b/>
                <w:bCs/>
              </w:rPr>
              <w:t> 923 496</w:t>
            </w:r>
          </w:p>
        </w:tc>
        <w:tc>
          <w:tcPr>
            <w:tcW w:w="0" w:type="auto"/>
            <w:gridSpan w:val="2"/>
            <w:tcBorders>
              <w:bottom w:val="single" w:sz="4" w:space="0" w:color="000000"/>
              <w:right w:val="single" w:sz="4" w:space="0" w:color="000000"/>
            </w:tcBorders>
          </w:tcPr>
          <w:p w:rsidR="00865DDA" w:rsidRDefault="00865DDA" w:rsidP="00B60A1F">
            <w:pPr>
              <w:pStyle w:val="Normlnywebov"/>
              <w:spacing w:before="0" w:beforeAutospacing="0" w:after="0" w:afterAutospacing="0"/>
              <w:jc w:val="center"/>
            </w:pPr>
            <w:r>
              <w:t> </w:t>
            </w:r>
            <w:r>
              <w:rPr>
                <w:b/>
                <w:bCs/>
              </w:rPr>
              <w:t> 923 496</w:t>
            </w:r>
          </w:p>
        </w:tc>
        <w:tc>
          <w:tcPr>
            <w:tcW w:w="2108"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jc w:val="center"/>
            </w:pPr>
            <w:r>
              <w:t> </w:t>
            </w:r>
            <w:r>
              <w:rPr>
                <w:b/>
                <w:bCs/>
              </w:rPr>
              <w:t> 923 496</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5385" w:type="dxa"/>
            <w:tcBorders>
              <w:left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Poistné a príspevok do poisťovní (620)*</w:t>
            </w:r>
          </w:p>
        </w:tc>
        <w:tc>
          <w:tcPr>
            <w:tcW w:w="1341" w:type="dxa"/>
            <w:tcBorders>
              <w:bottom w:val="single" w:sz="4" w:space="0" w:color="000000"/>
              <w:right w:val="single" w:sz="4" w:space="0" w:color="000000"/>
            </w:tcBorders>
          </w:tcPr>
          <w:p w:rsidR="00865DDA" w:rsidRDefault="00865DDA" w:rsidP="00865DDA">
            <w:pPr>
              <w:pStyle w:val="Normlnywebov"/>
              <w:numPr>
                <w:ilvl w:val="0"/>
                <w:numId w:val="13"/>
              </w:numPr>
              <w:spacing w:before="0" w:beforeAutospacing="0" w:after="0" w:afterAutospacing="0"/>
              <w:jc w:val="center"/>
            </w:pPr>
            <w:r>
              <w:rPr>
                <w:b/>
                <w:bCs/>
              </w:rPr>
              <w:t> </w:t>
            </w:r>
          </w:p>
        </w:tc>
        <w:tc>
          <w:tcPr>
            <w:tcW w:w="1978" w:type="dxa"/>
            <w:tcBorders>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 xml:space="preserve">           323 223 </w:t>
            </w:r>
            <w:r>
              <w:t> </w:t>
            </w:r>
          </w:p>
        </w:tc>
        <w:tc>
          <w:tcPr>
            <w:tcW w:w="0" w:type="auto"/>
            <w:gridSpan w:val="2"/>
            <w:tcBorders>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 xml:space="preserve">          323 223 </w:t>
            </w:r>
            <w:r>
              <w:t> </w:t>
            </w:r>
          </w:p>
        </w:tc>
        <w:tc>
          <w:tcPr>
            <w:tcW w:w="2108"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ind w:left="720"/>
            </w:pPr>
            <w:r>
              <w:rPr>
                <w:b/>
                <w:bCs/>
              </w:rPr>
              <w:t>323 223 </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rPr>
                <w:b/>
                <w:bCs/>
              </w:rPr>
              <w:t> </w:t>
            </w:r>
          </w:p>
        </w:tc>
      </w:tr>
      <w:tr w:rsidR="00865DDA" w:rsidTr="00B60A1F">
        <w:trPr>
          <w:trHeight w:val="255"/>
        </w:trPr>
        <w:tc>
          <w:tcPr>
            <w:tcW w:w="5385" w:type="dxa"/>
            <w:tcBorders>
              <w:left w:val="single" w:sz="4" w:space="0" w:color="000000"/>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   z toho vplyv na ŠR</w:t>
            </w:r>
          </w:p>
        </w:tc>
        <w:tc>
          <w:tcPr>
            <w:tcW w:w="1341" w:type="dxa"/>
            <w:tcBorders>
              <w:bottom w:val="single" w:sz="4" w:space="0" w:color="000000"/>
              <w:right w:val="single" w:sz="4" w:space="0" w:color="000000"/>
            </w:tcBorders>
          </w:tcPr>
          <w:p w:rsidR="00865DDA" w:rsidRDefault="00865DDA" w:rsidP="00865DDA">
            <w:pPr>
              <w:pStyle w:val="Normlnywebov"/>
              <w:numPr>
                <w:ilvl w:val="0"/>
                <w:numId w:val="14"/>
              </w:numPr>
              <w:spacing w:before="0" w:beforeAutospacing="0" w:after="0" w:afterAutospacing="0"/>
              <w:jc w:val="center"/>
            </w:pPr>
          </w:p>
        </w:tc>
        <w:tc>
          <w:tcPr>
            <w:tcW w:w="1978" w:type="dxa"/>
            <w:tcBorders>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 xml:space="preserve">           323 223 </w:t>
            </w:r>
            <w:r>
              <w:t> </w:t>
            </w:r>
          </w:p>
        </w:tc>
        <w:tc>
          <w:tcPr>
            <w:tcW w:w="0" w:type="auto"/>
            <w:gridSpan w:val="2"/>
            <w:tcBorders>
              <w:bottom w:val="single" w:sz="4" w:space="0" w:color="000000"/>
              <w:right w:val="single" w:sz="4" w:space="0" w:color="000000"/>
            </w:tcBorders>
          </w:tcPr>
          <w:p w:rsidR="00865DDA" w:rsidRDefault="00865DDA" w:rsidP="00B60A1F">
            <w:pPr>
              <w:pStyle w:val="Normlnywebov"/>
              <w:spacing w:before="0" w:beforeAutospacing="0" w:after="0" w:afterAutospacing="0"/>
            </w:pPr>
            <w:r>
              <w:rPr>
                <w:b/>
                <w:bCs/>
              </w:rPr>
              <w:t xml:space="preserve">         323 223 </w:t>
            </w:r>
            <w:r>
              <w:t> </w:t>
            </w:r>
          </w:p>
        </w:tc>
        <w:tc>
          <w:tcPr>
            <w:tcW w:w="2108" w:type="dxa"/>
            <w:tcBorders>
              <w:bottom w:val="single" w:sz="4" w:space="0" w:color="000000"/>
              <w:right w:val="single" w:sz="4" w:space="0" w:color="000000"/>
            </w:tcBorders>
            <w:tcMar>
              <w:top w:w="0" w:type="dxa"/>
              <w:left w:w="70" w:type="dxa"/>
              <w:bottom w:w="0" w:type="dxa"/>
              <w:right w:w="70" w:type="dxa"/>
            </w:tcMar>
          </w:tcPr>
          <w:p w:rsidR="00865DDA" w:rsidRDefault="00865DDA" w:rsidP="00B60A1F">
            <w:pPr>
              <w:pStyle w:val="Normlnywebov"/>
              <w:spacing w:before="0" w:beforeAutospacing="0" w:after="0" w:afterAutospacing="0"/>
              <w:ind w:left="720"/>
            </w:pPr>
            <w:r>
              <w:rPr>
                <w:b/>
                <w:bCs/>
              </w:rPr>
              <w:t>323 223 </w:t>
            </w:r>
            <w:r>
              <w:t> </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5385" w:type="dxa"/>
            <w:vAlign w:val="bottom"/>
          </w:tcPr>
          <w:p w:rsidR="00865DDA" w:rsidRDefault="00865DDA" w:rsidP="00B60A1F">
            <w:pPr>
              <w:pStyle w:val="Normlnywebov"/>
              <w:spacing w:before="0" w:beforeAutospacing="0" w:after="0" w:afterAutospacing="0"/>
            </w:pPr>
            <w:r>
              <w:t> </w:t>
            </w:r>
          </w:p>
        </w:tc>
        <w:tc>
          <w:tcPr>
            <w:tcW w:w="1341" w:type="dxa"/>
            <w:vAlign w:val="bottom"/>
          </w:tcPr>
          <w:p w:rsidR="00865DDA" w:rsidRDefault="00865DDA" w:rsidP="00B60A1F">
            <w:pPr>
              <w:pStyle w:val="Normlnywebov"/>
              <w:spacing w:before="0" w:beforeAutospacing="0" w:after="0" w:afterAutospacing="0"/>
            </w:pPr>
            <w:r>
              <w:t> </w:t>
            </w:r>
          </w:p>
        </w:tc>
        <w:tc>
          <w:tcPr>
            <w:tcW w:w="1978" w:type="dxa"/>
            <w:vAlign w:val="bottom"/>
          </w:tcPr>
          <w:p w:rsidR="00865DDA" w:rsidRDefault="00865DDA" w:rsidP="00B60A1F">
            <w:pPr>
              <w:pStyle w:val="Normlnywebov"/>
              <w:spacing w:before="0" w:beforeAutospacing="0" w:after="0" w:afterAutospacing="0"/>
            </w:pPr>
            <w:r>
              <w:t> </w:t>
            </w:r>
          </w:p>
        </w:tc>
        <w:tc>
          <w:tcPr>
            <w:tcW w:w="0" w:type="auto"/>
            <w:gridSpan w:val="2"/>
            <w:vAlign w:val="bottom"/>
          </w:tcPr>
          <w:p w:rsidR="00865DDA" w:rsidRDefault="00865DDA" w:rsidP="00B60A1F">
            <w:pPr>
              <w:pStyle w:val="Normlnywebov"/>
              <w:spacing w:before="0" w:beforeAutospacing="0" w:after="0" w:afterAutospacing="0"/>
            </w:pPr>
            <w:r>
              <w:t> </w:t>
            </w:r>
          </w:p>
        </w:tc>
        <w:tc>
          <w:tcPr>
            <w:tcW w:w="2108" w:type="dxa"/>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c>
          <w:tcPr>
            <w:tcW w:w="0" w:type="auto"/>
            <w:gridSpan w:val="2"/>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5385" w:type="dxa"/>
          </w:tcPr>
          <w:p w:rsidR="00865DDA" w:rsidRDefault="00865DDA" w:rsidP="00B60A1F">
            <w:pPr>
              <w:pStyle w:val="Normlnywebov"/>
              <w:spacing w:before="0" w:beforeAutospacing="0" w:after="0" w:afterAutospacing="0"/>
            </w:pPr>
            <w:r>
              <w:rPr>
                <w:b/>
                <w:bCs/>
              </w:rPr>
              <w:t>Poznámky:</w:t>
            </w:r>
          </w:p>
        </w:tc>
        <w:tc>
          <w:tcPr>
            <w:tcW w:w="1341" w:type="dxa"/>
            <w:vAlign w:val="bottom"/>
          </w:tcPr>
          <w:p w:rsidR="00865DDA" w:rsidRDefault="00865DDA" w:rsidP="00B60A1F">
            <w:pPr>
              <w:pStyle w:val="Normlnywebov"/>
              <w:spacing w:before="0" w:beforeAutospacing="0" w:after="0" w:afterAutospacing="0"/>
            </w:pPr>
            <w:r>
              <w:t> </w:t>
            </w:r>
          </w:p>
        </w:tc>
        <w:tc>
          <w:tcPr>
            <w:tcW w:w="1978" w:type="dxa"/>
            <w:vAlign w:val="bottom"/>
          </w:tcPr>
          <w:p w:rsidR="00865DDA" w:rsidRDefault="00865DDA" w:rsidP="00B60A1F">
            <w:pPr>
              <w:pStyle w:val="Normlnywebov"/>
              <w:spacing w:before="0" w:beforeAutospacing="0" w:after="0" w:afterAutospacing="0"/>
            </w:pPr>
            <w:r>
              <w:t> </w:t>
            </w:r>
          </w:p>
        </w:tc>
        <w:tc>
          <w:tcPr>
            <w:tcW w:w="0" w:type="auto"/>
            <w:gridSpan w:val="2"/>
            <w:vAlign w:val="bottom"/>
          </w:tcPr>
          <w:p w:rsidR="00865DDA" w:rsidRDefault="00865DDA" w:rsidP="00B60A1F">
            <w:pPr>
              <w:pStyle w:val="Normlnywebov"/>
              <w:spacing w:before="0" w:beforeAutospacing="0" w:after="0" w:afterAutospacing="0"/>
            </w:pPr>
            <w:r>
              <w:t> </w:t>
            </w:r>
          </w:p>
        </w:tc>
        <w:tc>
          <w:tcPr>
            <w:tcW w:w="2108" w:type="dxa"/>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c>
          <w:tcPr>
            <w:tcW w:w="0" w:type="auto"/>
            <w:gridSpan w:val="2"/>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12797" w:type="dxa"/>
            <w:gridSpan w:val="6"/>
            <w:tcMar>
              <w:top w:w="0" w:type="dxa"/>
              <w:left w:w="70" w:type="dxa"/>
              <w:bottom w:w="0" w:type="dxa"/>
              <w:right w:w="70" w:type="dxa"/>
            </w:tcMar>
          </w:tcPr>
          <w:p w:rsidR="00865DDA" w:rsidRDefault="00865DDA" w:rsidP="00B60A1F">
            <w:pPr>
              <w:pStyle w:val="Normlnywebov"/>
              <w:spacing w:before="0" w:beforeAutospacing="0" w:after="0" w:afterAutospacing="0"/>
            </w:pPr>
            <w:r>
              <w:t>Priemerný mzdový výdavok je tvorený podielom mzdových výdavkov na jedného zamestnanca na jeden kalendárny mesiac bežného roka</w:t>
            </w:r>
          </w:p>
        </w:tc>
        <w:tc>
          <w:tcPr>
            <w:tcW w:w="0" w:type="auto"/>
            <w:gridSpan w:val="2"/>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rPr>
          <w:trHeight w:val="255"/>
        </w:trPr>
        <w:tc>
          <w:tcPr>
            <w:tcW w:w="15114" w:type="dxa"/>
            <w:gridSpan w:val="8"/>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rsidR="00865DDA" w:rsidTr="00B60A1F">
        <w:trPr>
          <w:trHeight w:val="255"/>
        </w:trPr>
        <w:tc>
          <w:tcPr>
            <w:tcW w:w="9247" w:type="dxa"/>
            <w:gridSpan w:val="4"/>
            <w:vAlign w:val="bottom"/>
          </w:tcPr>
          <w:p w:rsidR="00865DDA" w:rsidRDefault="00865DDA" w:rsidP="00B60A1F">
            <w:pPr>
              <w:pStyle w:val="Normlnywebov"/>
              <w:spacing w:before="0" w:beforeAutospacing="0" w:after="0" w:afterAutospacing="0"/>
            </w:pPr>
            <w:r>
              <w:t>Kategórie 610 a 620 sú z tejto prílohy automaticky prenášané do príslušných kategórií prílohy „výdavky“</w:t>
            </w:r>
          </w:p>
        </w:tc>
        <w:tc>
          <w:tcPr>
            <w:tcW w:w="1442" w:type="dxa"/>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c>
          <w:tcPr>
            <w:tcW w:w="0" w:type="auto"/>
            <w:gridSpan w:val="2"/>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c>
          <w:tcPr>
            <w:tcW w:w="1450" w:type="dxa"/>
            <w:tcMar>
              <w:top w:w="0" w:type="dxa"/>
              <w:left w:w="70" w:type="dxa"/>
              <w:bottom w:w="0" w:type="dxa"/>
              <w:right w:w="70" w:type="dxa"/>
            </w:tcMar>
            <w:vAlign w:val="bottom"/>
          </w:tcPr>
          <w:p w:rsidR="00865DDA" w:rsidRDefault="00865DDA" w:rsidP="00B60A1F">
            <w:pPr>
              <w:pStyle w:val="Normlnywebov"/>
              <w:spacing w:before="0" w:beforeAutospacing="0" w:after="0" w:afterAutospacing="0"/>
            </w:pPr>
            <w:r>
              <w:t> </w:t>
            </w:r>
          </w:p>
        </w:tc>
      </w:tr>
      <w:tr w:rsidR="00865DDA" w:rsidTr="00B60A1F">
        <w:tc>
          <w:tcPr>
            <w:tcW w:w="5385" w:type="dxa"/>
            <w:tcBorders>
              <w:top w:val="nil"/>
              <w:left w:val="nil"/>
              <w:bottom w:val="nil"/>
              <w:right w:val="nil"/>
            </w:tcBorders>
            <w:vAlign w:val="center"/>
          </w:tcPr>
          <w:p w:rsidR="00865DDA" w:rsidRDefault="00865DDA" w:rsidP="00B60A1F">
            <w:pPr>
              <w:rPr>
                <w:sz w:val="2"/>
              </w:rPr>
            </w:pPr>
          </w:p>
        </w:tc>
        <w:tc>
          <w:tcPr>
            <w:tcW w:w="1341" w:type="dxa"/>
            <w:tcBorders>
              <w:top w:val="nil"/>
              <w:left w:val="nil"/>
              <w:bottom w:val="nil"/>
              <w:right w:val="nil"/>
            </w:tcBorders>
            <w:vAlign w:val="center"/>
          </w:tcPr>
          <w:p w:rsidR="00865DDA" w:rsidRDefault="00865DDA" w:rsidP="00B60A1F">
            <w:pPr>
              <w:rPr>
                <w:sz w:val="2"/>
              </w:rPr>
            </w:pPr>
          </w:p>
        </w:tc>
        <w:tc>
          <w:tcPr>
            <w:tcW w:w="1978" w:type="dxa"/>
            <w:tcBorders>
              <w:top w:val="nil"/>
              <w:left w:val="nil"/>
              <w:bottom w:val="nil"/>
              <w:right w:val="nil"/>
            </w:tcBorders>
            <w:vAlign w:val="center"/>
          </w:tcPr>
          <w:p w:rsidR="00865DDA" w:rsidRDefault="00865DDA" w:rsidP="00B60A1F">
            <w:pPr>
              <w:rPr>
                <w:sz w:val="2"/>
              </w:rPr>
            </w:pPr>
          </w:p>
        </w:tc>
        <w:tc>
          <w:tcPr>
            <w:tcW w:w="543" w:type="dxa"/>
            <w:tcBorders>
              <w:top w:val="nil"/>
              <w:left w:val="nil"/>
              <w:bottom w:val="nil"/>
              <w:right w:val="nil"/>
            </w:tcBorders>
            <w:vAlign w:val="center"/>
          </w:tcPr>
          <w:p w:rsidR="00865DDA" w:rsidRDefault="00865DDA" w:rsidP="00B60A1F">
            <w:pPr>
              <w:rPr>
                <w:sz w:val="2"/>
              </w:rPr>
            </w:pPr>
          </w:p>
        </w:tc>
        <w:tc>
          <w:tcPr>
            <w:tcW w:w="1442" w:type="dxa"/>
            <w:tcBorders>
              <w:top w:val="nil"/>
              <w:left w:val="nil"/>
              <w:bottom w:val="nil"/>
              <w:right w:val="nil"/>
            </w:tcBorders>
            <w:vAlign w:val="center"/>
          </w:tcPr>
          <w:p w:rsidR="00865DDA" w:rsidRDefault="00865DDA" w:rsidP="00B60A1F">
            <w:pPr>
              <w:rPr>
                <w:sz w:val="2"/>
              </w:rPr>
            </w:pPr>
          </w:p>
        </w:tc>
        <w:tc>
          <w:tcPr>
            <w:tcW w:w="2108" w:type="dxa"/>
            <w:tcBorders>
              <w:top w:val="nil"/>
              <w:left w:val="nil"/>
              <w:bottom w:val="nil"/>
              <w:right w:val="nil"/>
            </w:tcBorders>
            <w:vAlign w:val="center"/>
          </w:tcPr>
          <w:p w:rsidR="00865DDA" w:rsidRDefault="00865DDA" w:rsidP="00B60A1F">
            <w:pPr>
              <w:rPr>
                <w:sz w:val="2"/>
              </w:rPr>
            </w:pPr>
          </w:p>
        </w:tc>
        <w:tc>
          <w:tcPr>
            <w:tcW w:w="867" w:type="dxa"/>
            <w:tcBorders>
              <w:top w:val="nil"/>
              <w:left w:val="nil"/>
              <w:bottom w:val="nil"/>
              <w:right w:val="nil"/>
            </w:tcBorders>
            <w:vAlign w:val="center"/>
          </w:tcPr>
          <w:p w:rsidR="00865DDA" w:rsidRDefault="00865DDA" w:rsidP="00B60A1F">
            <w:pPr>
              <w:rPr>
                <w:sz w:val="2"/>
              </w:rPr>
            </w:pPr>
          </w:p>
        </w:tc>
        <w:tc>
          <w:tcPr>
            <w:tcW w:w="1450" w:type="dxa"/>
            <w:tcBorders>
              <w:top w:val="nil"/>
              <w:left w:val="nil"/>
              <w:bottom w:val="nil"/>
              <w:right w:val="nil"/>
            </w:tcBorders>
            <w:vAlign w:val="center"/>
          </w:tcPr>
          <w:p w:rsidR="00865DDA" w:rsidRDefault="00865DDA" w:rsidP="00B60A1F">
            <w:pPr>
              <w:rPr>
                <w:sz w:val="2"/>
              </w:rPr>
            </w:pPr>
          </w:p>
        </w:tc>
      </w:tr>
    </w:tbl>
    <w:p w:rsidR="00865DDA" w:rsidRDefault="00865DDA" w:rsidP="00865DDA">
      <w:pPr>
        <w:pStyle w:val="Normlnywebov"/>
        <w:spacing w:before="0" w:beforeAutospacing="0" w:after="0" w:afterAutospacing="0"/>
        <w:jc w:val="both"/>
      </w:pPr>
      <w:r>
        <w:t> </w:t>
      </w:r>
    </w:p>
    <w:p w:rsidR="00865DDA" w:rsidRDefault="00865DDA" w:rsidP="00865DDA">
      <w:pPr>
        <w:pStyle w:val="Normlnywebov"/>
        <w:spacing w:before="0" w:beforeAutospacing="0" w:after="0" w:afterAutospacing="0"/>
      </w:pPr>
      <w:r>
        <w:rPr>
          <w:b/>
          <w:bCs/>
        </w:rPr>
        <w:t>* počet zamestnancov,  mzdy a poistné rozpísať podľa spôsobu odmeňovania (napr. policajti, colníci ...)</w:t>
      </w:r>
    </w:p>
    <w:p w:rsidR="00865DDA" w:rsidRDefault="00865DDA" w:rsidP="00865DDA">
      <w:r w:rsidRPr="004161A1">
        <w:rPr>
          <w:b/>
          <w:bCs/>
        </w:rPr>
        <w:t> </w:t>
      </w:r>
    </w:p>
    <w:p w:rsidR="00865DDA" w:rsidRDefault="00865DDA" w:rsidP="00865DDA">
      <w:pPr>
        <w:sectPr w:rsidR="00865DDA" w:rsidSect="004161A1">
          <w:pgSz w:w="15840" w:h="12240" w:orient="landscape"/>
          <w:pgMar w:top="1418" w:right="1418" w:bottom="1418" w:left="1418" w:header="709" w:footer="709" w:gutter="0"/>
          <w:cols w:space="708"/>
        </w:sectPr>
      </w:pPr>
    </w:p>
    <w:tbl>
      <w:tblPr>
        <w:tblW w:w="0" w:type="auto"/>
        <w:tblBorders>
          <w:top w:val="nil"/>
          <w:left w:val="nil"/>
          <w:bottom w:val="nil"/>
          <w:right w:val="nil"/>
        </w:tblBorders>
        <w:tblLayout w:type="fixed"/>
        <w:tblLook w:val="0000" w:firstRow="0" w:lastRow="0" w:firstColumn="0" w:lastColumn="0" w:noHBand="0" w:noVBand="0"/>
      </w:tblPr>
      <w:tblGrid>
        <w:gridCol w:w="4152"/>
        <w:gridCol w:w="5020"/>
      </w:tblGrid>
      <w:tr w:rsidR="00865DDA" w:rsidTr="00B60A1F">
        <w:trPr>
          <w:trHeight w:val="296"/>
        </w:trPr>
        <w:tc>
          <w:tcPr>
            <w:tcW w:w="9172" w:type="dxa"/>
            <w:gridSpan w:val="2"/>
            <w:shd w:val="clear" w:color="auto" w:fill="000000"/>
            <w:vAlign w:val="center"/>
          </w:tcPr>
          <w:p w:rsidR="00865DDA" w:rsidRDefault="00865DDA" w:rsidP="00B60A1F">
            <w:pPr>
              <w:pStyle w:val="Default"/>
              <w:rPr>
                <w:color w:val="FFFFFF"/>
                <w:sz w:val="21"/>
                <w:szCs w:val="21"/>
              </w:rPr>
            </w:pPr>
            <w:r>
              <w:rPr>
                <w:b/>
                <w:bCs/>
                <w:color w:val="FFFFFF"/>
                <w:sz w:val="21"/>
                <w:szCs w:val="21"/>
              </w:rPr>
              <w:lastRenderedPageBreak/>
              <w:t xml:space="preserve">Vplyvy na podnikateľské prostredie </w:t>
            </w:r>
          </w:p>
        </w:tc>
      </w:tr>
      <w:tr w:rsidR="00865DDA" w:rsidTr="00B60A1F">
        <w:trPr>
          <w:trHeight w:val="693"/>
        </w:trPr>
        <w:tc>
          <w:tcPr>
            <w:tcW w:w="4152" w:type="dxa"/>
            <w:tcBorders>
              <w:top w:val="single" w:sz="12" w:space="0" w:color="000000"/>
              <w:left w:val="single" w:sz="8" w:space="0" w:color="000000"/>
              <w:bottom w:val="single" w:sz="4" w:space="0" w:color="000000"/>
              <w:right w:val="single" w:sz="4" w:space="0" w:color="000000"/>
            </w:tcBorders>
            <w:vAlign w:val="center"/>
          </w:tcPr>
          <w:p w:rsidR="00865DDA" w:rsidRDefault="00865DDA" w:rsidP="00B60A1F">
            <w:pPr>
              <w:pStyle w:val="Default"/>
              <w:rPr>
                <w:sz w:val="21"/>
                <w:szCs w:val="21"/>
              </w:rPr>
            </w:pPr>
            <w:r>
              <w:rPr>
                <w:b/>
                <w:bCs/>
                <w:sz w:val="21"/>
                <w:szCs w:val="21"/>
              </w:rPr>
              <w:t>3.1</w:t>
            </w:r>
            <w:r>
              <w:rPr>
                <w:sz w:val="21"/>
                <w:szCs w:val="21"/>
              </w:rPr>
              <w:t xml:space="preserve">. Ktoré podnikateľské subjekty budú predkladaným návrhom ovplyvnené a aký je ich počet? </w:t>
            </w:r>
          </w:p>
        </w:tc>
        <w:tc>
          <w:tcPr>
            <w:tcW w:w="5020" w:type="dxa"/>
            <w:tcBorders>
              <w:top w:val="single" w:sz="12" w:space="0" w:color="000000"/>
              <w:left w:val="single" w:sz="4" w:space="0" w:color="000000"/>
              <w:bottom w:val="single" w:sz="4" w:space="0" w:color="000000"/>
              <w:right w:val="single" w:sz="10" w:space="0" w:color="000000"/>
            </w:tcBorders>
          </w:tcPr>
          <w:p w:rsidR="00865DDA" w:rsidRDefault="00865DDA" w:rsidP="00B60A1F">
            <w:pPr>
              <w:pStyle w:val="Default"/>
              <w:rPr>
                <w:color w:val="auto"/>
              </w:rPr>
            </w:pPr>
            <w:r>
              <w:rPr>
                <w:color w:val="auto"/>
              </w:rPr>
              <w:t>Vo všeobecnosti všetci, ktorí prichádzajú do styku so Správami katastra, najmä:</w:t>
            </w:r>
          </w:p>
          <w:p w:rsidR="00865DDA" w:rsidRDefault="00865DDA" w:rsidP="00865DDA">
            <w:pPr>
              <w:pStyle w:val="Default"/>
              <w:numPr>
                <w:ilvl w:val="0"/>
                <w:numId w:val="15"/>
              </w:numPr>
              <w:rPr>
                <w:color w:val="auto"/>
              </w:rPr>
            </w:pPr>
            <w:r>
              <w:rPr>
                <w:color w:val="auto"/>
              </w:rPr>
              <w:t xml:space="preserve">banky (záložné práva), </w:t>
            </w:r>
          </w:p>
          <w:p w:rsidR="00865DDA" w:rsidRDefault="00865DDA" w:rsidP="00865DDA">
            <w:pPr>
              <w:pStyle w:val="Default"/>
              <w:numPr>
                <w:ilvl w:val="0"/>
                <w:numId w:val="15"/>
              </w:numPr>
              <w:rPr>
                <w:color w:val="auto"/>
              </w:rPr>
            </w:pPr>
            <w:r>
              <w:rPr>
                <w:color w:val="auto"/>
              </w:rPr>
              <w:t xml:space="preserve">notári (dedičstvá, notárske zápisnice), </w:t>
            </w:r>
          </w:p>
          <w:p w:rsidR="00865DDA" w:rsidRDefault="00865DDA" w:rsidP="00865DDA">
            <w:pPr>
              <w:pStyle w:val="Default"/>
              <w:numPr>
                <w:ilvl w:val="0"/>
                <w:numId w:val="15"/>
              </w:numPr>
              <w:rPr>
                <w:color w:val="auto"/>
              </w:rPr>
            </w:pPr>
            <w:r>
              <w:rPr>
                <w:color w:val="auto"/>
              </w:rPr>
              <w:t xml:space="preserve">advokáti (autorizované zmluvy), </w:t>
            </w:r>
          </w:p>
          <w:p w:rsidR="00865DDA" w:rsidRDefault="00865DDA" w:rsidP="00865DDA">
            <w:pPr>
              <w:pStyle w:val="Default"/>
              <w:numPr>
                <w:ilvl w:val="0"/>
                <w:numId w:val="15"/>
              </w:numPr>
              <w:rPr>
                <w:color w:val="auto"/>
              </w:rPr>
            </w:pPr>
            <w:r>
              <w:rPr>
                <w:color w:val="auto"/>
              </w:rPr>
              <w:t xml:space="preserve">realitné kancelárie (sprostredkovanie predaja nehnuteľnosti), </w:t>
            </w:r>
          </w:p>
          <w:p w:rsidR="00865DDA" w:rsidRDefault="00865DDA" w:rsidP="00865DDA">
            <w:pPr>
              <w:pStyle w:val="Default"/>
              <w:numPr>
                <w:ilvl w:val="0"/>
                <w:numId w:val="15"/>
              </w:numPr>
              <w:rPr>
                <w:color w:val="auto"/>
              </w:rPr>
            </w:pPr>
            <w:r>
              <w:rPr>
                <w:color w:val="auto"/>
              </w:rPr>
              <w:t xml:space="preserve">spoločnosti, ktoré hľadajú vo vlastníckych právach napr. </w:t>
            </w:r>
            <w:proofErr w:type="spellStart"/>
            <w:r>
              <w:rPr>
                <w:color w:val="auto"/>
              </w:rPr>
              <w:t>developeri</w:t>
            </w:r>
            <w:proofErr w:type="spellEnd"/>
            <w:r>
              <w:rPr>
                <w:color w:val="auto"/>
              </w:rPr>
              <w:t>.</w:t>
            </w:r>
          </w:p>
          <w:p w:rsidR="00865DDA" w:rsidRDefault="00865DDA" w:rsidP="00865DDA">
            <w:pPr>
              <w:pStyle w:val="Default"/>
              <w:numPr>
                <w:ilvl w:val="0"/>
                <w:numId w:val="15"/>
              </w:numPr>
              <w:rPr>
                <w:color w:val="auto"/>
              </w:rPr>
            </w:pPr>
            <w:r>
              <w:rPr>
                <w:color w:val="auto"/>
              </w:rPr>
              <w:t>IOM</w:t>
            </w:r>
          </w:p>
          <w:p w:rsidR="00865DDA" w:rsidRDefault="00865DDA" w:rsidP="00B60A1F">
            <w:pPr>
              <w:pStyle w:val="Default"/>
              <w:rPr>
                <w:color w:val="auto"/>
              </w:rPr>
            </w:pPr>
            <w:r>
              <w:rPr>
                <w:color w:val="auto"/>
              </w:rPr>
              <w:t>Počet dotknutých subjektov nie je možné kvantifikovať</w:t>
            </w:r>
          </w:p>
        </w:tc>
      </w:tr>
      <w:tr w:rsidR="00865DDA" w:rsidTr="00B60A1F">
        <w:trPr>
          <w:trHeight w:val="556"/>
        </w:trPr>
        <w:tc>
          <w:tcPr>
            <w:tcW w:w="4152" w:type="dxa"/>
            <w:tcBorders>
              <w:top w:val="single" w:sz="4" w:space="0" w:color="000000"/>
              <w:left w:val="single" w:sz="8" w:space="0" w:color="000000"/>
              <w:bottom w:val="single" w:sz="4" w:space="0" w:color="000000"/>
              <w:right w:val="single" w:sz="4" w:space="0" w:color="000000"/>
            </w:tcBorders>
            <w:vAlign w:val="center"/>
          </w:tcPr>
          <w:p w:rsidR="00865DDA" w:rsidRDefault="00865DDA" w:rsidP="00B60A1F">
            <w:pPr>
              <w:pStyle w:val="Default"/>
              <w:rPr>
                <w:sz w:val="21"/>
                <w:szCs w:val="21"/>
              </w:rPr>
            </w:pPr>
            <w:r>
              <w:rPr>
                <w:b/>
                <w:bCs/>
                <w:sz w:val="21"/>
                <w:szCs w:val="21"/>
              </w:rPr>
              <w:t>3.2</w:t>
            </w:r>
            <w:r>
              <w:rPr>
                <w:sz w:val="21"/>
                <w:szCs w:val="21"/>
              </w:rPr>
              <w:t xml:space="preserve">. Aký je predpokladaný charakter a rozsah nákladov a prínosov? </w:t>
            </w:r>
          </w:p>
        </w:tc>
        <w:tc>
          <w:tcPr>
            <w:tcW w:w="5020" w:type="dxa"/>
            <w:tcBorders>
              <w:top w:val="single" w:sz="4" w:space="0" w:color="000000"/>
              <w:left w:val="single" w:sz="4" w:space="0" w:color="000000"/>
              <w:bottom w:val="single" w:sz="4" w:space="0" w:color="000000"/>
              <w:right w:val="single" w:sz="10" w:space="0" w:color="000000"/>
            </w:tcBorders>
          </w:tcPr>
          <w:p w:rsidR="00865DDA" w:rsidRDefault="00865DDA" w:rsidP="00B60A1F">
            <w:pPr>
              <w:pStyle w:val="Default"/>
              <w:rPr>
                <w:color w:val="auto"/>
              </w:rPr>
            </w:pPr>
          </w:p>
          <w:p w:rsidR="00865DDA" w:rsidRDefault="00865DDA" w:rsidP="00B60A1F">
            <w:pPr>
              <w:pStyle w:val="Default"/>
              <w:rPr>
                <w:color w:val="auto"/>
              </w:rPr>
            </w:pPr>
            <w:r>
              <w:rPr>
                <w:color w:val="auto"/>
              </w:rPr>
              <w:t>Prínosy</w:t>
            </w:r>
          </w:p>
          <w:p w:rsidR="00865DDA" w:rsidRDefault="00865DDA" w:rsidP="00865DDA">
            <w:pPr>
              <w:pStyle w:val="Default"/>
              <w:numPr>
                <w:ilvl w:val="0"/>
                <w:numId w:val="16"/>
              </w:numPr>
              <w:rPr>
                <w:color w:val="auto"/>
              </w:rPr>
            </w:pPr>
            <w:r w:rsidRPr="00444525">
              <w:rPr>
                <w:color w:val="auto"/>
              </w:rPr>
              <w:t xml:space="preserve">Za predpokladu obstarania </w:t>
            </w:r>
            <w:proofErr w:type="spellStart"/>
            <w:r w:rsidRPr="00444525">
              <w:rPr>
                <w:color w:val="auto"/>
              </w:rPr>
              <w:t>ZEPu</w:t>
            </w:r>
            <w:proofErr w:type="spellEnd"/>
            <w:r w:rsidRPr="00444525">
              <w:rPr>
                <w:color w:val="auto"/>
              </w:rPr>
              <w:t xml:space="preserve">, ktorý bude vo všeobecnosti potrebný na elektronickú komunikácia s verejnou správou, budú môcť podnikateľské subjekty realizovať úkony týkajúce sa nehnuteľnosti elektronicky bez osobného kontaktu. Pri konaniach, kde je potrebné dodržať fikciu doručenia, bude plne elektronická komunikácia možná až po vybudovaní jednotlivých komponentov nového ÚPVS a bude prijatá príslušná legislatíva. Charakter prínosov bude hlavne v úspore času a nákladov na presun na správy katastra, vyššej dostupnosti služieb, poskytovanie niektorých nových služieb v zmysle výzvy k projektu ESKN a v budúcnosti pri naplnení ďalších predpokladov (napr. dobudovanie ďalších komponentov </w:t>
            </w:r>
            <w:proofErr w:type="spellStart"/>
            <w:r w:rsidRPr="00444525">
              <w:rPr>
                <w:color w:val="auto"/>
              </w:rPr>
              <w:t>eGovernmentu</w:t>
            </w:r>
            <w:proofErr w:type="spellEnd"/>
            <w:r w:rsidRPr="00444525">
              <w:rPr>
                <w:color w:val="auto"/>
              </w:rPr>
              <w:t xml:space="preserve">) skrátenie lehôt pri správnom konaní </w:t>
            </w:r>
          </w:p>
          <w:p w:rsidR="00865DDA" w:rsidRDefault="00865DDA" w:rsidP="00865DDA">
            <w:pPr>
              <w:pStyle w:val="Default"/>
              <w:numPr>
                <w:ilvl w:val="0"/>
                <w:numId w:val="16"/>
              </w:numPr>
              <w:rPr>
                <w:color w:val="auto"/>
              </w:rPr>
            </w:pPr>
            <w:proofErr w:type="spellStart"/>
            <w:r>
              <w:rPr>
                <w:color w:val="auto"/>
              </w:rPr>
              <w:t>Online</w:t>
            </w:r>
            <w:proofErr w:type="spellEnd"/>
            <w:r>
              <w:rPr>
                <w:color w:val="auto"/>
              </w:rPr>
              <w:t xml:space="preserve"> publikovanie a aktualizácia vlastníckych práv</w:t>
            </w:r>
          </w:p>
          <w:p w:rsidR="00865DDA" w:rsidRPr="00AE1CC2" w:rsidRDefault="00865DDA" w:rsidP="00865DDA">
            <w:pPr>
              <w:pStyle w:val="Default"/>
              <w:numPr>
                <w:ilvl w:val="0"/>
                <w:numId w:val="16"/>
              </w:numPr>
              <w:rPr>
                <w:color w:val="auto"/>
              </w:rPr>
            </w:pPr>
            <w:r>
              <w:rPr>
                <w:rFonts w:cstheme="minorBidi"/>
                <w:color w:val="auto"/>
              </w:rPr>
              <w:t>skrátenie lehôt v prípade využitia elektronických služieb napr. záznamové konanie</w:t>
            </w:r>
          </w:p>
          <w:p w:rsidR="00865DDA" w:rsidRDefault="00865DDA" w:rsidP="00865DDA">
            <w:pPr>
              <w:pStyle w:val="Default"/>
              <w:numPr>
                <w:ilvl w:val="0"/>
                <w:numId w:val="16"/>
              </w:numPr>
              <w:rPr>
                <w:color w:val="auto"/>
              </w:rPr>
            </w:pPr>
            <w:r>
              <w:rPr>
                <w:rFonts w:cstheme="minorBidi"/>
                <w:color w:val="auto"/>
              </w:rPr>
              <w:t>zavedenie nových služieb – rôzne formy súpisov z katastra (napr. stavieb, vlastníkov, správcov, nájomcov, nehnuteľnosti), notifikačné služby za poplatok(napr. sledovanie zmien na listoch vlastníctva), podanie žiadosti na overenie výsledkov geodetických činností alebo sledovanie priebehu overovanie výsledkov geodetických prác</w:t>
            </w:r>
            <w:r>
              <w:rPr>
                <w:color w:val="auto"/>
              </w:rPr>
              <w:t>.</w:t>
            </w:r>
          </w:p>
          <w:p w:rsidR="00865DDA" w:rsidRDefault="00865DDA" w:rsidP="00B60A1F">
            <w:pPr>
              <w:pStyle w:val="Default"/>
              <w:rPr>
                <w:color w:val="auto"/>
              </w:rPr>
            </w:pPr>
            <w:r w:rsidRPr="00444525">
              <w:rPr>
                <w:color w:val="auto"/>
              </w:rPr>
              <w:t>Náklady</w:t>
            </w:r>
          </w:p>
          <w:p w:rsidR="00865DDA" w:rsidRDefault="00865DDA" w:rsidP="00865DDA">
            <w:pPr>
              <w:pStyle w:val="Default"/>
              <w:numPr>
                <w:ilvl w:val="0"/>
                <w:numId w:val="16"/>
              </w:numPr>
              <w:tabs>
                <w:tab w:val="clear" w:pos="340"/>
              </w:tabs>
              <w:rPr>
                <w:color w:val="auto"/>
              </w:rPr>
            </w:pPr>
            <w:r>
              <w:rPr>
                <w:color w:val="auto"/>
              </w:rPr>
              <w:t xml:space="preserve">V prípade cieľu využitia elektronického komunikačného kanála zmena pracovných </w:t>
            </w:r>
            <w:r>
              <w:rPr>
                <w:color w:val="auto"/>
              </w:rPr>
              <w:lastRenderedPageBreak/>
              <w:t xml:space="preserve">postupov. </w:t>
            </w:r>
          </w:p>
          <w:p w:rsidR="00865DDA" w:rsidRDefault="00865DDA" w:rsidP="00865DDA">
            <w:pPr>
              <w:pStyle w:val="Default"/>
              <w:numPr>
                <w:ilvl w:val="0"/>
                <w:numId w:val="16"/>
              </w:numPr>
              <w:rPr>
                <w:color w:val="auto"/>
              </w:rPr>
            </w:pPr>
            <w:r>
              <w:rPr>
                <w:color w:val="auto"/>
              </w:rPr>
              <w:t xml:space="preserve">Budú taktiež poskytnuté webové služby pre integráciu informačných systémov a v prípade využitia je potrebné prispôsobiť informačné systémy na strane podnikateľov </w:t>
            </w:r>
          </w:p>
          <w:p w:rsidR="00865DDA" w:rsidRPr="00444525" w:rsidRDefault="00865DDA" w:rsidP="00865DDA">
            <w:pPr>
              <w:pStyle w:val="Default"/>
              <w:numPr>
                <w:ilvl w:val="0"/>
                <w:numId w:val="16"/>
              </w:numPr>
              <w:rPr>
                <w:color w:val="auto"/>
              </w:rPr>
            </w:pPr>
            <w:r>
              <w:rPr>
                <w:color w:val="auto"/>
              </w:rPr>
              <w:t xml:space="preserve">Využívanie nových služieb bude spoplatnené  </w:t>
            </w:r>
          </w:p>
          <w:p w:rsidR="00865DDA" w:rsidRDefault="00865DDA" w:rsidP="00B60A1F">
            <w:pPr>
              <w:pStyle w:val="Default"/>
              <w:rPr>
                <w:color w:val="auto"/>
              </w:rPr>
            </w:pPr>
          </w:p>
        </w:tc>
      </w:tr>
      <w:tr w:rsidR="00865DDA" w:rsidTr="00B60A1F">
        <w:trPr>
          <w:trHeight w:val="832"/>
        </w:trPr>
        <w:tc>
          <w:tcPr>
            <w:tcW w:w="4152" w:type="dxa"/>
            <w:tcBorders>
              <w:top w:val="single" w:sz="4" w:space="0" w:color="000000"/>
              <w:left w:val="single" w:sz="8" w:space="0" w:color="000000"/>
              <w:bottom w:val="single" w:sz="4" w:space="0" w:color="000000"/>
              <w:right w:val="single" w:sz="4" w:space="0" w:color="000000"/>
            </w:tcBorders>
            <w:vAlign w:val="center"/>
          </w:tcPr>
          <w:p w:rsidR="00865DDA" w:rsidRDefault="00865DDA" w:rsidP="00B60A1F">
            <w:pPr>
              <w:pStyle w:val="Default"/>
              <w:rPr>
                <w:sz w:val="21"/>
                <w:szCs w:val="21"/>
              </w:rPr>
            </w:pPr>
            <w:r>
              <w:rPr>
                <w:b/>
                <w:bCs/>
                <w:sz w:val="21"/>
                <w:szCs w:val="21"/>
              </w:rPr>
              <w:lastRenderedPageBreak/>
              <w:t>3.3</w:t>
            </w:r>
            <w:r>
              <w:rPr>
                <w:sz w:val="21"/>
                <w:szCs w:val="21"/>
              </w:rPr>
              <w:t xml:space="preserve">. Aká je predpokladaná výška administratívnych nákladov, ktoré podniky vynaložia v súvislosti s implementáciou návrhu? </w:t>
            </w:r>
          </w:p>
        </w:tc>
        <w:tc>
          <w:tcPr>
            <w:tcW w:w="5020" w:type="dxa"/>
            <w:tcBorders>
              <w:top w:val="single" w:sz="4" w:space="0" w:color="000000"/>
              <w:left w:val="single" w:sz="4" w:space="0" w:color="000000"/>
              <w:bottom w:val="single" w:sz="4" w:space="0" w:color="000000"/>
              <w:right w:val="single" w:sz="10" w:space="0" w:color="000000"/>
            </w:tcBorders>
          </w:tcPr>
          <w:p w:rsidR="00865DDA" w:rsidRDefault="00865DDA" w:rsidP="00865DDA">
            <w:pPr>
              <w:pStyle w:val="Default"/>
              <w:numPr>
                <w:ilvl w:val="0"/>
                <w:numId w:val="17"/>
              </w:numPr>
              <w:rPr>
                <w:color w:val="auto"/>
              </w:rPr>
            </w:pPr>
            <w:r>
              <w:rPr>
                <w:color w:val="auto"/>
              </w:rPr>
              <w:t xml:space="preserve">Návrh nového zákona nezakladá priame finančné náklady. </w:t>
            </w:r>
          </w:p>
          <w:p w:rsidR="00865DDA" w:rsidRDefault="00865DDA" w:rsidP="00865DDA">
            <w:pPr>
              <w:pStyle w:val="Default"/>
              <w:numPr>
                <w:ilvl w:val="0"/>
                <w:numId w:val="17"/>
              </w:numPr>
              <w:rPr>
                <w:color w:val="auto"/>
              </w:rPr>
            </w:pPr>
            <w:r>
              <w:rPr>
                <w:color w:val="auto"/>
              </w:rPr>
              <w:t>Náklady súvisiace s plnením regulácie nový zákon tiež nezakladá.</w:t>
            </w:r>
          </w:p>
          <w:p w:rsidR="00865DDA" w:rsidRDefault="00865DDA" w:rsidP="00865DDA">
            <w:pPr>
              <w:pStyle w:val="Default"/>
              <w:numPr>
                <w:ilvl w:val="0"/>
                <w:numId w:val="17"/>
              </w:numPr>
              <w:rPr>
                <w:color w:val="auto"/>
              </w:rPr>
            </w:pPr>
            <w:r>
              <w:rPr>
                <w:color w:val="auto"/>
              </w:rPr>
              <w:t>Náklady môžu byť v prípade ambície využívania elektronickej komunikácie avšak to je iba možnosťou a nie povinnosťou. Navyše elektronická komunikácia má svoje prínosy a je už na uvážení daného subjektu či sa mu to oplatí</w:t>
            </w:r>
          </w:p>
        </w:tc>
      </w:tr>
      <w:tr w:rsidR="00865DDA" w:rsidTr="00B60A1F">
        <w:trPr>
          <w:trHeight w:val="832"/>
        </w:trPr>
        <w:tc>
          <w:tcPr>
            <w:tcW w:w="4152" w:type="dxa"/>
            <w:tcBorders>
              <w:top w:val="single" w:sz="4" w:space="0" w:color="000000"/>
              <w:left w:val="single" w:sz="8" w:space="0" w:color="000000"/>
              <w:bottom w:val="single" w:sz="4" w:space="0" w:color="000000"/>
              <w:right w:val="single" w:sz="4" w:space="0" w:color="000000"/>
            </w:tcBorders>
            <w:vAlign w:val="center"/>
          </w:tcPr>
          <w:p w:rsidR="00865DDA" w:rsidRDefault="00865DDA" w:rsidP="00B60A1F">
            <w:pPr>
              <w:pStyle w:val="Default"/>
              <w:rPr>
                <w:sz w:val="21"/>
                <w:szCs w:val="21"/>
              </w:rPr>
            </w:pPr>
            <w:r>
              <w:rPr>
                <w:b/>
                <w:bCs/>
                <w:sz w:val="21"/>
                <w:szCs w:val="21"/>
              </w:rPr>
              <w:t>3.4</w:t>
            </w:r>
            <w:r>
              <w:rPr>
                <w:sz w:val="21"/>
                <w:szCs w:val="21"/>
              </w:rPr>
              <w:t xml:space="preserve">. Aké sú dôsledky pripravovaného návrhu pre fungovanie podnikateľských subjektov na slovenskom trhu (ako sa zmenia operácie na trhu?) </w:t>
            </w:r>
          </w:p>
        </w:tc>
        <w:tc>
          <w:tcPr>
            <w:tcW w:w="5020" w:type="dxa"/>
            <w:tcBorders>
              <w:top w:val="single" w:sz="4" w:space="0" w:color="000000"/>
              <w:left w:val="single" w:sz="4" w:space="0" w:color="000000"/>
              <w:bottom w:val="single" w:sz="4" w:space="0" w:color="000000"/>
              <w:right w:val="single" w:sz="10" w:space="0" w:color="000000"/>
            </w:tcBorders>
          </w:tcPr>
          <w:p w:rsidR="00865DDA" w:rsidRDefault="00865DDA" w:rsidP="00B60A1F">
            <w:pPr>
              <w:pStyle w:val="Default"/>
              <w:rPr>
                <w:color w:val="auto"/>
              </w:rPr>
            </w:pPr>
            <w:r>
              <w:rPr>
                <w:color w:val="auto"/>
              </w:rPr>
              <w:t xml:space="preserve">Dopad môže byť na podnikateľské subjekty, ktoré ďalej spracúvajú údaje katastra za účelom získania špecifických analytických informácií napr. zisťovania právnych vzťahov pre </w:t>
            </w:r>
            <w:proofErr w:type="spellStart"/>
            <w:r>
              <w:rPr>
                <w:color w:val="auto"/>
              </w:rPr>
              <w:t>developerov</w:t>
            </w:r>
            <w:proofErr w:type="spellEnd"/>
            <w:r>
              <w:rPr>
                <w:color w:val="auto"/>
              </w:rPr>
              <w:t>. Tieto údaje bude možné zjednodušene získať priamo zo systému ESKN.</w:t>
            </w:r>
          </w:p>
          <w:p w:rsidR="00865DDA" w:rsidRDefault="00865DDA" w:rsidP="00B60A1F">
            <w:pPr>
              <w:pStyle w:val="Default"/>
              <w:rPr>
                <w:color w:val="auto"/>
              </w:rPr>
            </w:pPr>
            <w:r>
              <w:rPr>
                <w:color w:val="auto"/>
              </w:rPr>
              <w:t xml:space="preserve">Nové elektronické služby však majú potenciál pre iné typy nadstavbových služieb, ktoré súkromný sektor môže poskytovať. </w:t>
            </w:r>
          </w:p>
        </w:tc>
      </w:tr>
      <w:tr w:rsidR="00865DDA" w:rsidTr="00B60A1F">
        <w:trPr>
          <w:trHeight w:val="832"/>
        </w:trPr>
        <w:tc>
          <w:tcPr>
            <w:tcW w:w="4152" w:type="dxa"/>
            <w:tcBorders>
              <w:top w:val="single" w:sz="4" w:space="0" w:color="000000"/>
              <w:left w:val="single" w:sz="8" w:space="0" w:color="000000"/>
              <w:bottom w:val="single" w:sz="4" w:space="0" w:color="000000"/>
              <w:right w:val="single" w:sz="4" w:space="0" w:color="000000"/>
            </w:tcBorders>
            <w:vAlign w:val="center"/>
          </w:tcPr>
          <w:p w:rsidR="00865DDA" w:rsidRDefault="00865DDA" w:rsidP="00B60A1F">
            <w:pPr>
              <w:pStyle w:val="Default"/>
              <w:rPr>
                <w:b/>
                <w:bCs/>
                <w:sz w:val="21"/>
                <w:szCs w:val="21"/>
              </w:rPr>
            </w:pPr>
            <w:r>
              <w:rPr>
                <w:b/>
                <w:bCs/>
                <w:sz w:val="21"/>
                <w:szCs w:val="21"/>
              </w:rPr>
              <w:t>3.5</w:t>
            </w:r>
            <w:r>
              <w:rPr>
                <w:sz w:val="21"/>
                <w:szCs w:val="21"/>
              </w:rPr>
              <w:t xml:space="preserve">. Aké sú predpokladané </w:t>
            </w:r>
            <w:proofErr w:type="spellStart"/>
            <w:r>
              <w:rPr>
                <w:sz w:val="21"/>
                <w:szCs w:val="21"/>
              </w:rPr>
              <w:t>spoločensko</w:t>
            </w:r>
            <w:proofErr w:type="spellEnd"/>
            <w:r>
              <w:rPr>
                <w:sz w:val="21"/>
                <w:szCs w:val="21"/>
              </w:rPr>
              <w:t xml:space="preserve"> – ekonomické dôsledky pripravovaných regulácií?</w:t>
            </w:r>
          </w:p>
        </w:tc>
        <w:tc>
          <w:tcPr>
            <w:tcW w:w="5020" w:type="dxa"/>
            <w:tcBorders>
              <w:top w:val="single" w:sz="4" w:space="0" w:color="000000"/>
              <w:left w:val="single" w:sz="4" w:space="0" w:color="000000"/>
              <w:bottom w:val="single" w:sz="4" w:space="0" w:color="000000"/>
              <w:right w:val="single" w:sz="10" w:space="0" w:color="000000"/>
            </w:tcBorders>
          </w:tcPr>
          <w:p w:rsidR="00865DDA" w:rsidRDefault="00865DDA" w:rsidP="00B60A1F">
            <w:pPr>
              <w:pStyle w:val="Default"/>
              <w:rPr>
                <w:color w:val="auto"/>
              </w:rPr>
            </w:pPr>
            <w:r>
              <w:rPr>
                <w:color w:val="auto"/>
              </w:rPr>
              <w:t>Pripravovaná legislatíva nepredpokladá výrazne spoločensko-ekonomické dôsledky</w:t>
            </w:r>
            <w:r w:rsidRPr="005F30FD">
              <w:rPr>
                <w:color w:val="auto"/>
              </w:rPr>
              <w:t>.</w:t>
            </w:r>
          </w:p>
        </w:tc>
      </w:tr>
    </w:tbl>
    <w:p w:rsidR="00865DDA" w:rsidRDefault="00865DDA" w:rsidP="00865DDA"/>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pPr>
        <w:rPr>
          <w:rFonts w:cs="Liberation Serif"/>
          <w:b/>
          <w:bCs/>
          <w:color w:val="000000"/>
          <w:sz w:val="26"/>
          <w:szCs w:val="26"/>
        </w:rPr>
      </w:pPr>
    </w:p>
    <w:p w:rsidR="00865DDA" w:rsidRDefault="00865DDA" w:rsidP="00865DDA">
      <w:r>
        <w:rPr>
          <w:rFonts w:cs="Liberation Serif"/>
          <w:b/>
          <w:bCs/>
          <w:color w:val="000000"/>
          <w:sz w:val="26"/>
          <w:szCs w:val="26"/>
        </w:rPr>
        <w:t xml:space="preserve">Sociálne vplyvy -  vplyvy na hospodárenie obyvateľstva, sociálnu </w:t>
      </w:r>
      <w:proofErr w:type="spellStart"/>
      <w:r>
        <w:rPr>
          <w:rFonts w:cs="Liberation Serif"/>
          <w:b/>
          <w:bCs/>
          <w:color w:val="000000"/>
          <w:sz w:val="26"/>
          <w:szCs w:val="26"/>
        </w:rPr>
        <w:t>exklúziu</w:t>
      </w:r>
      <w:proofErr w:type="spellEnd"/>
      <w:r>
        <w:rPr>
          <w:rFonts w:cs="Liberation Serif"/>
          <w:b/>
          <w:bCs/>
          <w:color w:val="000000"/>
          <w:sz w:val="26"/>
          <w:szCs w:val="26"/>
        </w:rPr>
        <w:t>, rovnosť príležitostí a rodovú rovnosť  a na zamestnanosť</w:t>
      </w:r>
    </w:p>
    <w:tbl>
      <w:tblPr>
        <w:tblW w:w="0" w:type="auto"/>
        <w:tblBorders>
          <w:top w:val="nil"/>
          <w:left w:val="nil"/>
          <w:bottom w:val="nil"/>
          <w:right w:val="nil"/>
        </w:tblBorders>
        <w:tblLayout w:type="fixed"/>
        <w:tblLook w:val="0000" w:firstRow="0" w:lastRow="0" w:firstColumn="0" w:lastColumn="0" w:noHBand="0" w:noVBand="0"/>
      </w:tblPr>
      <w:tblGrid>
        <w:gridCol w:w="4890"/>
        <w:gridCol w:w="4150"/>
      </w:tblGrid>
      <w:tr w:rsidR="00865DDA" w:rsidTr="00B60A1F">
        <w:trPr>
          <w:trHeight w:val="337"/>
        </w:trPr>
        <w:tc>
          <w:tcPr>
            <w:tcW w:w="9040" w:type="dxa"/>
            <w:gridSpan w:val="2"/>
            <w:tcBorders>
              <w:top w:val="single" w:sz="6" w:space="0" w:color="000000"/>
              <w:left w:val="single" w:sz="6" w:space="0" w:color="000000"/>
              <w:bottom w:val="single" w:sz="6" w:space="0" w:color="000000"/>
              <w:right w:val="single" w:sz="6" w:space="0" w:color="000000"/>
            </w:tcBorders>
            <w:shd w:val="clear" w:color="auto" w:fill="0A0A0A"/>
          </w:tcPr>
          <w:p w:rsidR="00865DDA" w:rsidRDefault="00865DDA" w:rsidP="00B60A1F">
            <w:pPr>
              <w:pStyle w:val="Default"/>
              <w:rPr>
                <w:color w:val="FFFFFF"/>
                <w:sz w:val="21"/>
                <w:szCs w:val="21"/>
              </w:rPr>
            </w:pPr>
            <w:r>
              <w:rPr>
                <w:b/>
                <w:bCs/>
                <w:color w:val="FFFFFF"/>
                <w:sz w:val="21"/>
                <w:szCs w:val="21"/>
              </w:rPr>
              <w:t xml:space="preserve">Sociálne vplyvy predkladaného materiálu -  vplyvy na hospodárenie obyvateľstva, sociálnu </w:t>
            </w:r>
            <w:proofErr w:type="spellStart"/>
            <w:r>
              <w:rPr>
                <w:b/>
                <w:bCs/>
                <w:color w:val="FFFFFF"/>
                <w:sz w:val="21"/>
                <w:szCs w:val="21"/>
              </w:rPr>
              <w:lastRenderedPageBreak/>
              <w:t>exklúziu</w:t>
            </w:r>
            <w:proofErr w:type="spellEnd"/>
            <w:r>
              <w:rPr>
                <w:b/>
                <w:bCs/>
                <w:color w:val="FFFFFF"/>
                <w:sz w:val="21"/>
                <w:szCs w:val="21"/>
              </w:rPr>
              <w:t xml:space="preserve">, rovnosť príležitostí a rodovú rovnosť a vplyvy na zamestnanosť </w:t>
            </w:r>
          </w:p>
        </w:tc>
      </w:tr>
      <w:tr w:rsidR="00865DDA" w:rsidTr="00B60A1F">
        <w:trPr>
          <w:trHeight w:val="765"/>
        </w:trPr>
        <w:tc>
          <w:tcPr>
            <w:tcW w:w="4890" w:type="dxa"/>
            <w:tcBorders>
              <w:top w:val="single" w:sz="6" w:space="0" w:color="000000"/>
              <w:left w:val="single" w:sz="6" w:space="0" w:color="000000"/>
              <w:bottom w:val="single" w:sz="6" w:space="0" w:color="000000"/>
              <w:right w:val="single" w:sz="6" w:space="0" w:color="000000"/>
            </w:tcBorders>
            <w:vAlign w:val="center"/>
          </w:tcPr>
          <w:p w:rsidR="00865DDA" w:rsidRPr="00AE1CC2" w:rsidRDefault="00865DDA" w:rsidP="00B60A1F">
            <w:pPr>
              <w:pStyle w:val="Default"/>
            </w:pPr>
            <w:r w:rsidRPr="00AE1CC2">
              <w:rPr>
                <w:b/>
                <w:bCs/>
              </w:rPr>
              <w:lastRenderedPageBreak/>
              <w:t xml:space="preserve">4.1. </w:t>
            </w:r>
            <w:r w:rsidRPr="00AE1CC2">
              <w:t xml:space="preserve">Identifikujte vplyv na hospodárenie domácností a špecifikujte ovplyvnené skupiny domácností, ktoré budú pozitívne/negatívne ovplyvnené. </w:t>
            </w:r>
          </w:p>
        </w:tc>
        <w:tc>
          <w:tcPr>
            <w:tcW w:w="4150" w:type="dxa"/>
            <w:tcBorders>
              <w:top w:val="single" w:sz="6" w:space="0" w:color="000000"/>
              <w:left w:val="single" w:sz="6" w:space="0" w:color="000000"/>
              <w:bottom w:val="single" w:sz="6" w:space="0" w:color="000000"/>
              <w:right w:val="single" w:sz="6" w:space="0" w:color="000000"/>
            </w:tcBorders>
          </w:tcPr>
          <w:p w:rsidR="00865DDA" w:rsidRDefault="00865DDA" w:rsidP="00B60A1F">
            <w:pPr>
              <w:pStyle w:val="Default"/>
              <w:rPr>
                <w:rFonts w:cstheme="minorBidi"/>
                <w:color w:val="auto"/>
              </w:rPr>
            </w:pPr>
            <w:r>
              <w:rPr>
                <w:rFonts w:cstheme="minorBidi"/>
                <w:color w:val="auto"/>
              </w:rPr>
              <w:t>-</w:t>
            </w:r>
          </w:p>
        </w:tc>
      </w:tr>
      <w:tr w:rsidR="00865DDA" w:rsidTr="00B60A1F">
        <w:trPr>
          <w:trHeight w:val="1243"/>
        </w:trPr>
        <w:tc>
          <w:tcPr>
            <w:tcW w:w="4890" w:type="dxa"/>
            <w:tcBorders>
              <w:top w:val="single" w:sz="6" w:space="0" w:color="000000"/>
              <w:left w:val="single" w:sz="6" w:space="0" w:color="000000"/>
              <w:bottom w:val="single" w:sz="6" w:space="0" w:color="000000"/>
              <w:right w:val="single" w:sz="6" w:space="0" w:color="000000"/>
            </w:tcBorders>
          </w:tcPr>
          <w:p w:rsidR="00865DDA" w:rsidRPr="00AE1CC2" w:rsidRDefault="00865DDA" w:rsidP="00B60A1F">
            <w:pPr>
              <w:pStyle w:val="Default"/>
            </w:pPr>
            <w:r w:rsidRPr="00AE1CC2">
              <w:t xml:space="preserve">Kvantifikujte: -Rast alebo pokles príjmov/výdavkov na priemerného obyvateľa -Rast alebo pokles príjmov/výdavkov za jednotlivé ovplyvnené  skupiny domácností - Celkový počet obyvateľstva/domácností ovplyvnených predkladaným materiálom </w:t>
            </w:r>
          </w:p>
        </w:tc>
        <w:tc>
          <w:tcPr>
            <w:tcW w:w="4150" w:type="dxa"/>
            <w:tcBorders>
              <w:top w:val="single" w:sz="6" w:space="0" w:color="000000"/>
              <w:left w:val="single" w:sz="6" w:space="0" w:color="000000"/>
              <w:bottom w:val="single" w:sz="6" w:space="0" w:color="000000"/>
              <w:right w:val="single" w:sz="6" w:space="0" w:color="000000"/>
            </w:tcBorders>
          </w:tcPr>
          <w:p w:rsidR="00865DDA" w:rsidRDefault="00865DDA" w:rsidP="00B60A1F">
            <w:pPr>
              <w:pStyle w:val="Default"/>
              <w:rPr>
                <w:rFonts w:cstheme="minorBidi"/>
                <w:color w:val="auto"/>
              </w:rPr>
            </w:pPr>
            <w:r>
              <w:rPr>
                <w:rFonts w:cstheme="minorBidi"/>
                <w:color w:val="auto"/>
              </w:rPr>
              <w:t>-</w:t>
            </w:r>
          </w:p>
        </w:tc>
      </w:tr>
      <w:tr w:rsidR="00865DDA" w:rsidTr="00B60A1F">
        <w:trPr>
          <w:trHeight w:val="803"/>
        </w:trPr>
        <w:tc>
          <w:tcPr>
            <w:tcW w:w="4890" w:type="dxa"/>
            <w:tcBorders>
              <w:top w:val="single" w:sz="6" w:space="0" w:color="000000"/>
              <w:left w:val="single" w:sz="6" w:space="0" w:color="000000"/>
              <w:bottom w:val="single" w:sz="6" w:space="0" w:color="000000"/>
              <w:right w:val="single" w:sz="6" w:space="0" w:color="000000"/>
            </w:tcBorders>
            <w:vAlign w:val="center"/>
          </w:tcPr>
          <w:p w:rsidR="00865DDA" w:rsidRPr="00AE1CC2" w:rsidRDefault="00865DDA" w:rsidP="00B60A1F">
            <w:pPr>
              <w:pStyle w:val="Default"/>
            </w:pPr>
            <w:r w:rsidRPr="00AE1CC2">
              <w:rPr>
                <w:b/>
                <w:bCs/>
              </w:rPr>
              <w:t xml:space="preserve">4.2. </w:t>
            </w:r>
            <w:r w:rsidRPr="00AE1CC2">
              <w:t xml:space="preserve">Zhodnoťte kvalitatívne (prípadne kvantitatívne) vplyvy na prístup k zdrojom, právam, tovarom a službám u jednotlivých ovplyvnených skupín obyvateľstva. </w:t>
            </w:r>
          </w:p>
        </w:tc>
        <w:tc>
          <w:tcPr>
            <w:tcW w:w="4150" w:type="dxa"/>
            <w:tcBorders>
              <w:top w:val="single" w:sz="6" w:space="0" w:color="000000"/>
              <w:left w:val="single" w:sz="6" w:space="0" w:color="000000"/>
              <w:bottom w:val="single" w:sz="6" w:space="0" w:color="000000"/>
              <w:right w:val="single" w:sz="6" w:space="0" w:color="000000"/>
            </w:tcBorders>
          </w:tcPr>
          <w:p w:rsidR="00865DDA" w:rsidRDefault="00865DDA" w:rsidP="00B60A1F">
            <w:pPr>
              <w:pStyle w:val="Default"/>
              <w:rPr>
                <w:rFonts w:cstheme="minorBidi"/>
                <w:color w:val="auto"/>
              </w:rPr>
            </w:pPr>
            <w:r>
              <w:rPr>
                <w:rFonts w:cstheme="minorBidi"/>
                <w:color w:val="auto"/>
              </w:rPr>
              <w:t xml:space="preserve">Zvýšenie kvality a dostupnosti služieb a údajov katastra (napr. </w:t>
            </w:r>
            <w:proofErr w:type="spellStart"/>
            <w:r>
              <w:rPr>
                <w:rFonts w:cstheme="minorBidi"/>
                <w:color w:val="auto"/>
              </w:rPr>
              <w:t>online</w:t>
            </w:r>
            <w:proofErr w:type="spellEnd"/>
            <w:r>
              <w:rPr>
                <w:rFonts w:cstheme="minorBidi"/>
                <w:color w:val="auto"/>
              </w:rPr>
              <w:t xml:space="preserve"> aktualizácia portálu, notifikačné služby pre informovanie o zmenách na nehnuteľnostiach a skrátenie lehôt v prípade využitia elektronických služieb napr. záznamové konanie, využívanie integrovaných obslužných miest v súlade so zákonom č. 275/2006 Z. z. o informačných systémoch verejnej správy pri poskytovaní vybraných elektronických služieb napr. poskytovanie výpisu z listu vlastníctva). Efektívne využívanie elektronických služieb katastra nehnuteľnosti je závislé aj od prijatia legislatívy v oblasti elektronizácie verejnej správy, ktorá je v kompetencii iných štátnych orgánov. </w:t>
            </w:r>
          </w:p>
        </w:tc>
      </w:tr>
      <w:tr w:rsidR="00865DDA" w:rsidTr="00B60A1F">
        <w:trPr>
          <w:trHeight w:val="695"/>
        </w:trPr>
        <w:tc>
          <w:tcPr>
            <w:tcW w:w="4890" w:type="dxa"/>
            <w:tcBorders>
              <w:top w:val="single" w:sz="6" w:space="0" w:color="000000"/>
              <w:left w:val="single" w:sz="6" w:space="0" w:color="000000"/>
              <w:bottom w:val="single" w:sz="6" w:space="0" w:color="000000"/>
              <w:right w:val="single" w:sz="6" w:space="0" w:color="000000"/>
            </w:tcBorders>
            <w:vAlign w:val="center"/>
          </w:tcPr>
          <w:p w:rsidR="00865DDA" w:rsidRPr="00AE1CC2" w:rsidRDefault="00865DDA" w:rsidP="00B60A1F">
            <w:pPr>
              <w:pStyle w:val="Default"/>
            </w:pPr>
            <w:r w:rsidRPr="00AE1CC2">
              <w:rPr>
                <w:b/>
                <w:bCs/>
              </w:rPr>
              <w:t xml:space="preserve">4.3. </w:t>
            </w:r>
            <w:r w:rsidRPr="00AE1CC2">
              <w:t xml:space="preserve">Zhodnoťte vplyv na rovnosť príležitostí: Zhodnoťte vplyv na rodovú rovnosť. </w:t>
            </w:r>
          </w:p>
        </w:tc>
        <w:tc>
          <w:tcPr>
            <w:tcW w:w="4150" w:type="dxa"/>
            <w:tcBorders>
              <w:top w:val="single" w:sz="6" w:space="0" w:color="000000"/>
              <w:left w:val="single" w:sz="6" w:space="0" w:color="000000"/>
              <w:bottom w:val="single" w:sz="6" w:space="0" w:color="000000"/>
              <w:right w:val="single" w:sz="6" w:space="0" w:color="000000"/>
            </w:tcBorders>
          </w:tcPr>
          <w:p w:rsidR="00865DDA" w:rsidRDefault="00865DDA" w:rsidP="00B60A1F">
            <w:pPr>
              <w:pStyle w:val="Default"/>
              <w:rPr>
                <w:rFonts w:cstheme="minorBidi"/>
                <w:color w:val="auto"/>
              </w:rPr>
            </w:pPr>
            <w:r>
              <w:rPr>
                <w:rFonts w:cstheme="minorBidi"/>
                <w:color w:val="auto"/>
              </w:rPr>
              <w:t>Nemá vplyv na rovnosť príležitosti.</w:t>
            </w:r>
          </w:p>
        </w:tc>
      </w:tr>
      <w:tr w:rsidR="00865DDA" w:rsidTr="00B60A1F">
        <w:trPr>
          <w:trHeight w:val="1125"/>
        </w:trPr>
        <w:tc>
          <w:tcPr>
            <w:tcW w:w="4890" w:type="dxa"/>
            <w:tcBorders>
              <w:top w:val="single" w:sz="6" w:space="0" w:color="000000"/>
              <w:left w:val="single" w:sz="6" w:space="0" w:color="000000"/>
              <w:bottom w:val="single" w:sz="4" w:space="0" w:color="000000"/>
              <w:right w:val="single" w:sz="6" w:space="0" w:color="000000"/>
            </w:tcBorders>
          </w:tcPr>
          <w:p w:rsidR="00865DDA" w:rsidRPr="00AE1CC2" w:rsidRDefault="00865DDA" w:rsidP="00B60A1F">
            <w:pPr>
              <w:pStyle w:val="Default"/>
            </w:pPr>
            <w:r w:rsidRPr="00AE1CC2">
              <w:rPr>
                <w:b/>
                <w:bCs/>
              </w:rPr>
              <w:t xml:space="preserve">4.4. </w:t>
            </w:r>
            <w:r w:rsidRPr="00AE1CC2">
              <w:t xml:space="preserve">Zhodnoťte vplyvy na zamestnanosť. Aké sú  vplyvy na zamestnanosť ? Ktoré skupiny zamestnancov budú ohrozené schválením predkladaného materiálu ? Hrozí v prípade schválenia predkladaného materiálu hromadné prepúšťanie ? </w:t>
            </w:r>
          </w:p>
        </w:tc>
        <w:tc>
          <w:tcPr>
            <w:tcW w:w="4150" w:type="dxa"/>
            <w:tcBorders>
              <w:top w:val="single" w:sz="6" w:space="0" w:color="000000"/>
              <w:left w:val="single" w:sz="6" w:space="0" w:color="000000"/>
              <w:bottom w:val="single" w:sz="4" w:space="0" w:color="000000"/>
              <w:right w:val="single" w:sz="6" w:space="0" w:color="000000"/>
            </w:tcBorders>
          </w:tcPr>
          <w:p w:rsidR="00865DDA" w:rsidRDefault="00865DDA" w:rsidP="00B60A1F">
            <w:pPr>
              <w:pStyle w:val="Default"/>
              <w:rPr>
                <w:rFonts w:cstheme="minorBidi"/>
                <w:color w:val="auto"/>
              </w:rPr>
            </w:pPr>
            <w:r>
              <w:rPr>
                <w:rFonts w:cstheme="minorBidi"/>
                <w:color w:val="auto"/>
              </w:rPr>
              <w:t>Nová legislatíva v spojitosti s nasadením systému z projektu ESKN prinesie elektronizáciu interných procesov a vytvorí predpoklady pre ich automatizáciu. V krátkodobom časovou horizonte (cca. 3 roky) sa nepredpokladá žiaden dopad na zamestnanosť. V strednodobom časovom horizonte však môže byť dosiahnuté zefektívnenie pracovných postupov, čoho dôsledkom môže byť rozhodnutie o reštrukturalizácii rezortu.</w:t>
            </w:r>
          </w:p>
        </w:tc>
      </w:tr>
    </w:tbl>
    <w:p w:rsidR="00865DDA" w:rsidRDefault="00865DDA" w:rsidP="00865DDA"/>
    <w:p w:rsidR="00865DDA" w:rsidRDefault="00865DDA" w:rsidP="00865DDA">
      <w:pPr>
        <w:jc w:val="center"/>
      </w:pPr>
    </w:p>
    <w:p w:rsidR="00865DDA" w:rsidRDefault="00865DDA" w:rsidP="00865DDA">
      <w:pPr>
        <w:jc w:val="center"/>
      </w:pPr>
    </w:p>
    <w:tbl>
      <w:tblPr>
        <w:tblW w:w="0" w:type="auto"/>
        <w:tblBorders>
          <w:top w:val="nil"/>
          <w:left w:val="nil"/>
          <w:bottom w:val="nil"/>
          <w:right w:val="nil"/>
        </w:tblBorders>
        <w:tblLayout w:type="fixed"/>
        <w:tblLook w:val="0000" w:firstRow="0" w:lastRow="0" w:firstColumn="0" w:lastColumn="0" w:noHBand="0" w:noVBand="0"/>
      </w:tblPr>
      <w:tblGrid>
        <w:gridCol w:w="5250"/>
        <w:gridCol w:w="3780"/>
      </w:tblGrid>
      <w:tr w:rsidR="00865DDA" w:rsidTr="00B60A1F">
        <w:trPr>
          <w:trHeight w:val="136"/>
        </w:trPr>
        <w:tc>
          <w:tcPr>
            <w:tcW w:w="5250" w:type="dxa"/>
            <w:tcBorders>
              <w:bottom w:val="single" w:sz="18" w:space="0" w:color="878787"/>
            </w:tcBorders>
            <w:shd w:val="clear" w:color="auto" w:fill="000000"/>
          </w:tcPr>
          <w:p w:rsidR="00865DDA" w:rsidRDefault="00865DDA" w:rsidP="00B60A1F">
            <w:pPr>
              <w:pStyle w:val="Default"/>
              <w:rPr>
                <w:color w:val="FFFFFF"/>
                <w:sz w:val="20"/>
                <w:szCs w:val="20"/>
              </w:rPr>
            </w:pPr>
            <w:r>
              <w:rPr>
                <w:b/>
                <w:bCs/>
                <w:color w:val="FFFFFF"/>
                <w:sz w:val="20"/>
                <w:szCs w:val="20"/>
              </w:rPr>
              <w:t xml:space="preserve">Budovanie základných pilierov informatizácie </w:t>
            </w:r>
          </w:p>
        </w:tc>
        <w:tc>
          <w:tcPr>
            <w:tcW w:w="3780" w:type="dxa"/>
            <w:tcBorders>
              <w:bottom w:val="single" w:sz="18" w:space="0" w:color="878787"/>
            </w:tcBorders>
            <w:shd w:val="clear" w:color="auto" w:fill="000000"/>
          </w:tcPr>
          <w:p w:rsidR="00865DDA" w:rsidRDefault="00865DDA" w:rsidP="00B60A1F">
            <w:pPr>
              <w:pStyle w:val="Default"/>
              <w:rPr>
                <w:color w:val="auto"/>
              </w:rPr>
            </w:pPr>
          </w:p>
        </w:tc>
      </w:tr>
      <w:tr w:rsidR="00865DDA" w:rsidTr="00B60A1F">
        <w:trPr>
          <w:trHeight w:val="137"/>
        </w:trPr>
        <w:tc>
          <w:tcPr>
            <w:tcW w:w="5250" w:type="dxa"/>
            <w:tcBorders>
              <w:top w:val="single" w:sz="18" w:space="0" w:color="878787"/>
              <w:left w:val="single" w:sz="6" w:space="0" w:color="000000"/>
              <w:bottom w:val="single" w:sz="16" w:space="0" w:color="000000"/>
              <w:right w:val="single" w:sz="6" w:space="0" w:color="000000"/>
            </w:tcBorders>
            <w:shd w:val="clear" w:color="auto" w:fill="C0C0C0"/>
          </w:tcPr>
          <w:p w:rsidR="00865DDA" w:rsidRDefault="00865DDA" w:rsidP="00B60A1F">
            <w:pPr>
              <w:pStyle w:val="Default"/>
              <w:rPr>
                <w:sz w:val="20"/>
                <w:szCs w:val="20"/>
              </w:rPr>
            </w:pPr>
            <w:r>
              <w:rPr>
                <w:b/>
                <w:bCs/>
                <w:sz w:val="20"/>
                <w:szCs w:val="20"/>
              </w:rPr>
              <w:t xml:space="preserve">Obsah </w:t>
            </w:r>
          </w:p>
        </w:tc>
        <w:tc>
          <w:tcPr>
            <w:tcW w:w="3780" w:type="dxa"/>
            <w:tcBorders>
              <w:top w:val="single" w:sz="18" w:space="0" w:color="878787"/>
              <w:left w:val="single" w:sz="6" w:space="0" w:color="000000"/>
              <w:bottom w:val="single" w:sz="16" w:space="0" w:color="000000"/>
              <w:right w:val="single" w:sz="6" w:space="0" w:color="000000"/>
            </w:tcBorders>
            <w:shd w:val="clear" w:color="auto" w:fill="C0C0C0"/>
          </w:tcPr>
          <w:p w:rsidR="00865DDA" w:rsidRDefault="00865DDA" w:rsidP="00B60A1F">
            <w:pPr>
              <w:pStyle w:val="Default"/>
              <w:rPr>
                <w:color w:val="auto"/>
              </w:rPr>
            </w:pPr>
          </w:p>
        </w:tc>
      </w:tr>
      <w:tr w:rsidR="00865DDA" w:rsidTr="00B60A1F">
        <w:trPr>
          <w:trHeight w:val="378"/>
        </w:trPr>
        <w:tc>
          <w:tcPr>
            <w:tcW w:w="525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t>6.1.</w:t>
            </w:r>
            <w:r>
              <w:rPr>
                <w:sz w:val="20"/>
                <w:szCs w:val="20"/>
              </w:rPr>
              <w:t xml:space="preserve"> Rozširujú alebo inovujú sa existujúce alebo vytvárajú sa či zavádzajú sa nové elektronické služby? </w:t>
            </w:r>
            <w:r>
              <w:rPr>
                <w:i/>
                <w:iCs/>
                <w:sz w:val="19"/>
                <w:szCs w:val="19"/>
              </w:rPr>
              <w:t xml:space="preserve">(Popíšte ich funkciu a úroveň poskytovania.) </w:t>
            </w:r>
          </w:p>
        </w:tc>
        <w:tc>
          <w:tcPr>
            <w:tcW w:w="378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t xml:space="preserve">Áno. Predkladaný materiál vytvára nutné predpoklady pre inováciu existujúcich služieb katastra </w:t>
            </w:r>
            <w:r>
              <w:rPr>
                <w:color w:val="auto"/>
              </w:rPr>
              <w:lastRenderedPageBreak/>
              <w:t xml:space="preserve">nehnuteľností, presnejšie v oblasti zvýšenia ich úrovne </w:t>
            </w:r>
            <w:proofErr w:type="spellStart"/>
            <w:r>
              <w:rPr>
                <w:color w:val="auto"/>
              </w:rPr>
              <w:t>sofistikovanosti</w:t>
            </w:r>
            <w:proofErr w:type="spellEnd"/>
            <w:r>
              <w:rPr>
                <w:color w:val="auto"/>
              </w:rPr>
              <w:t xml:space="preserve">. </w:t>
            </w:r>
          </w:p>
          <w:p w:rsidR="00865DDA" w:rsidRDefault="00865DDA" w:rsidP="00B60A1F">
            <w:pPr>
              <w:pStyle w:val="Default"/>
              <w:rPr>
                <w:color w:val="auto"/>
              </w:rPr>
            </w:pPr>
          </w:p>
          <w:p w:rsidR="00865DDA" w:rsidRDefault="00865DDA" w:rsidP="00B60A1F">
            <w:pPr>
              <w:pStyle w:val="Default"/>
              <w:rPr>
                <w:color w:val="auto"/>
              </w:rPr>
            </w:pPr>
            <w:r>
              <w:rPr>
                <w:color w:val="auto"/>
              </w:rPr>
              <w:t xml:space="preserve">V rámci vybavovania katastrálnych konaní ako aj žiadostí na poskytnutie rôznych informácií, výpisov a údajov z katastra je z legislatívneho hľadiska pokrytá elektronická forma komunikácie na strane vstupov aj výstupov. Otázka tzv. „fikcie doručenia“ v elektronickom svete je však nad rámec tohto materiálu. Z toho vyplýva, že pri službách kde na výstupe je potrebné dodržať fikciu doručenia sa týmto materiálom vytvárajú predpoklady na zvýšenie </w:t>
            </w:r>
            <w:proofErr w:type="spellStart"/>
            <w:r>
              <w:rPr>
                <w:color w:val="auto"/>
              </w:rPr>
              <w:t>sofistikovanosti</w:t>
            </w:r>
            <w:proofErr w:type="spellEnd"/>
            <w:r>
              <w:rPr>
                <w:color w:val="auto"/>
              </w:rPr>
              <w:t xml:space="preserve"> služieb na úroveň 3. Pri ostatných službách v rámci spomínaných kategórií, kde nie je potrebné riešiť fikciu doručenia sa týmto materiálom vytvárajú predpoklady na zvýšenie </w:t>
            </w:r>
            <w:proofErr w:type="spellStart"/>
            <w:r>
              <w:rPr>
                <w:color w:val="auto"/>
              </w:rPr>
              <w:t>sofistikovanosti</w:t>
            </w:r>
            <w:proofErr w:type="spellEnd"/>
            <w:r>
              <w:rPr>
                <w:color w:val="auto"/>
              </w:rPr>
              <w:t xml:space="preserve"> služieb na úroveň 4. </w:t>
            </w:r>
          </w:p>
          <w:p w:rsidR="00865DDA" w:rsidRDefault="00865DDA" w:rsidP="00B60A1F">
            <w:pPr>
              <w:pStyle w:val="Default"/>
              <w:rPr>
                <w:color w:val="auto"/>
              </w:rPr>
            </w:pPr>
          </w:p>
          <w:p w:rsidR="00865DDA" w:rsidRDefault="00865DDA" w:rsidP="00B60A1F">
            <w:pPr>
              <w:pStyle w:val="Default"/>
              <w:rPr>
                <w:color w:val="auto"/>
              </w:rPr>
            </w:pPr>
            <w:r>
              <w:rPr>
                <w:color w:val="auto"/>
              </w:rPr>
              <w:t xml:space="preserve">Nutným predpokladom pre poskytovanie služieb katastra nehnuteľností v elektronickej podobe je okrem prijatia tejto legislatívy je aj dokončenie OPIS projektu Elektronické služby katastra nehnuteľností (ESKN). </w:t>
            </w:r>
          </w:p>
        </w:tc>
      </w:tr>
      <w:tr w:rsidR="00865DDA" w:rsidTr="00B60A1F">
        <w:trPr>
          <w:trHeight w:val="378"/>
        </w:trPr>
        <w:tc>
          <w:tcPr>
            <w:tcW w:w="5250" w:type="dxa"/>
            <w:tcBorders>
              <w:top w:val="single" w:sz="16" w:space="0" w:color="000000"/>
              <w:left w:val="single" w:sz="6" w:space="0" w:color="000000"/>
              <w:bottom w:val="single" w:sz="16" w:space="0" w:color="8A8A8A"/>
              <w:right w:val="single" w:sz="6" w:space="0" w:color="000000"/>
            </w:tcBorders>
          </w:tcPr>
          <w:p w:rsidR="00865DDA" w:rsidRDefault="00865DDA" w:rsidP="00B60A1F">
            <w:pPr>
              <w:pStyle w:val="Default"/>
              <w:rPr>
                <w:sz w:val="19"/>
                <w:szCs w:val="19"/>
              </w:rPr>
            </w:pPr>
            <w:r>
              <w:rPr>
                <w:b/>
                <w:bCs/>
                <w:sz w:val="20"/>
                <w:szCs w:val="20"/>
              </w:rPr>
              <w:lastRenderedPageBreak/>
              <w:t>6.2.</w:t>
            </w:r>
            <w:r>
              <w:rPr>
                <w:sz w:val="20"/>
                <w:szCs w:val="20"/>
              </w:rPr>
              <w:t xml:space="preserve"> Vytvárajú sa podmienky pre sémantickú </w:t>
            </w:r>
            <w:proofErr w:type="spellStart"/>
            <w:r>
              <w:rPr>
                <w:sz w:val="20"/>
                <w:szCs w:val="20"/>
              </w:rPr>
              <w:t>interoperabilitu</w:t>
            </w:r>
            <w:proofErr w:type="spellEnd"/>
            <w:r>
              <w:rPr>
                <w:sz w:val="20"/>
                <w:szCs w:val="20"/>
              </w:rPr>
              <w:t xml:space="preserve">? </w:t>
            </w:r>
            <w:r>
              <w:rPr>
                <w:i/>
                <w:iCs/>
                <w:sz w:val="19"/>
                <w:szCs w:val="19"/>
              </w:rPr>
              <w:t xml:space="preserve">(Popíšte spôsob jej zabezpečenia.) </w:t>
            </w:r>
          </w:p>
        </w:tc>
        <w:tc>
          <w:tcPr>
            <w:tcW w:w="3780" w:type="dxa"/>
            <w:tcBorders>
              <w:top w:val="single" w:sz="16" w:space="0" w:color="000000"/>
              <w:left w:val="single" w:sz="6" w:space="0" w:color="000000"/>
              <w:bottom w:val="single" w:sz="16" w:space="0" w:color="8A8A8A"/>
              <w:right w:val="single" w:sz="6" w:space="0" w:color="000000"/>
            </w:tcBorders>
          </w:tcPr>
          <w:p w:rsidR="00865DDA" w:rsidRDefault="00865DDA" w:rsidP="00B60A1F">
            <w:pPr>
              <w:pStyle w:val="Default"/>
              <w:rPr>
                <w:color w:val="auto"/>
              </w:rPr>
            </w:pPr>
            <w:r>
              <w:rPr>
                <w:color w:val="auto"/>
              </w:rPr>
              <w:t xml:space="preserve">Nie, nie je to predmetom predkladaného materiálu. </w:t>
            </w:r>
          </w:p>
        </w:tc>
      </w:tr>
      <w:tr w:rsidR="00865DDA" w:rsidTr="00B60A1F">
        <w:trPr>
          <w:trHeight w:val="137"/>
        </w:trPr>
        <w:tc>
          <w:tcPr>
            <w:tcW w:w="5250" w:type="dxa"/>
            <w:tcBorders>
              <w:top w:val="single" w:sz="16" w:space="0" w:color="8A8A8A"/>
              <w:left w:val="single" w:sz="6" w:space="0" w:color="000000"/>
              <w:bottom w:val="single" w:sz="16" w:space="0" w:color="000000"/>
              <w:right w:val="single" w:sz="6" w:space="0" w:color="000000"/>
            </w:tcBorders>
            <w:shd w:val="clear" w:color="auto" w:fill="C0C0C0"/>
          </w:tcPr>
          <w:p w:rsidR="00865DDA" w:rsidRDefault="00865DDA" w:rsidP="00B60A1F">
            <w:pPr>
              <w:pStyle w:val="Default"/>
              <w:rPr>
                <w:sz w:val="20"/>
                <w:szCs w:val="20"/>
              </w:rPr>
            </w:pPr>
            <w:r>
              <w:rPr>
                <w:b/>
                <w:bCs/>
                <w:sz w:val="20"/>
                <w:szCs w:val="20"/>
              </w:rPr>
              <w:t xml:space="preserve">Ľudia </w:t>
            </w:r>
          </w:p>
        </w:tc>
        <w:tc>
          <w:tcPr>
            <w:tcW w:w="3780" w:type="dxa"/>
            <w:tcBorders>
              <w:top w:val="single" w:sz="16" w:space="0" w:color="8A8A8A"/>
              <w:left w:val="single" w:sz="6" w:space="0" w:color="000000"/>
              <w:bottom w:val="single" w:sz="16" w:space="0" w:color="000000"/>
              <w:right w:val="single" w:sz="6" w:space="0" w:color="000000"/>
            </w:tcBorders>
            <w:shd w:val="clear" w:color="auto" w:fill="C0C0C0"/>
          </w:tcPr>
          <w:p w:rsidR="00865DDA" w:rsidRDefault="00865DDA" w:rsidP="00B60A1F">
            <w:pPr>
              <w:pStyle w:val="Default"/>
              <w:rPr>
                <w:color w:val="auto"/>
              </w:rPr>
            </w:pPr>
          </w:p>
        </w:tc>
      </w:tr>
      <w:tr w:rsidR="00865DDA" w:rsidTr="00B60A1F">
        <w:trPr>
          <w:trHeight w:val="378"/>
        </w:trPr>
        <w:tc>
          <w:tcPr>
            <w:tcW w:w="525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t>6.3.</w:t>
            </w:r>
            <w:r>
              <w:rPr>
                <w:sz w:val="20"/>
                <w:szCs w:val="20"/>
              </w:rPr>
              <w:t xml:space="preserve"> Zabezpečuje sa vzdelávanie v oblasti počítačovej gramotnosti a rozširovanie vedomostí o IKT? </w:t>
            </w:r>
            <w:r>
              <w:rPr>
                <w:i/>
                <w:iCs/>
                <w:sz w:val="19"/>
                <w:szCs w:val="19"/>
              </w:rPr>
              <w:t xml:space="preserve">(Uveďte spôsob, napr. projekty, školenia.) </w:t>
            </w:r>
          </w:p>
        </w:tc>
        <w:tc>
          <w:tcPr>
            <w:tcW w:w="378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t>Nie, nie je to predmetom predkladaného materiálu.</w:t>
            </w:r>
          </w:p>
        </w:tc>
      </w:tr>
      <w:tr w:rsidR="00865DDA" w:rsidTr="00B60A1F">
        <w:trPr>
          <w:trHeight w:val="253"/>
        </w:trPr>
        <w:tc>
          <w:tcPr>
            <w:tcW w:w="525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t>6.4.</w:t>
            </w:r>
            <w:r>
              <w:rPr>
                <w:sz w:val="20"/>
                <w:szCs w:val="20"/>
              </w:rPr>
              <w:t xml:space="preserve"> Zabezpečuje sa rozvoj elektronického vzdelávania? </w:t>
            </w:r>
            <w:r>
              <w:rPr>
                <w:i/>
                <w:iCs/>
                <w:sz w:val="19"/>
                <w:szCs w:val="19"/>
              </w:rPr>
              <w:t xml:space="preserve">(Uveďte typ a spôsob zabezpečenia vzdelávacích aktivít.) </w:t>
            </w:r>
          </w:p>
        </w:tc>
        <w:tc>
          <w:tcPr>
            <w:tcW w:w="378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t>Nie, nie je to predmetom predkladaného materiálu.</w:t>
            </w:r>
          </w:p>
        </w:tc>
      </w:tr>
      <w:tr w:rsidR="00865DDA" w:rsidTr="00B60A1F">
        <w:trPr>
          <w:trHeight w:val="505"/>
        </w:trPr>
        <w:tc>
          <w:tcPr>
            <w:tcW w:w="525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t>6.5.</w:t>
            </w:r>
            <w:r>
              <w:rPr>
                <w:sz w:val="20"/>
                <w:szCs w:val="20"/>
              </w:rPr>
              <w:t xml:space="preserve"> Zabezpečuje sa podporná a propagačná aktivita zameraná na zvyšovanie povedomia o informatizácii a IKT? </w:t>
            </w:r>
            <w:r>
              <w:rPr>
                <w:i/>
                <w:iCs/>
                <w:sz w:val="19"/>
                <w:szCs w:val="19"/>
              </w:rPr>
              <w:t xml:space="preserve">(Uveďte typ a spôsob zabezpečenia propagačných aktivít.) </w:t>
            </w:r>
          </w:p>
        </w:tc>
        <w:tc>
          <w:tcPr>
            <w:tcW w:w="378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t>Nie, nie je to predmetom predkladaného materiálu.</w:t>
            </w:r>
          </w:p>
        </w:tc>
      </w:tr>
      <w:tr w:rsidR="00865DDA" w:rsidTr="00B60A1F">
        <w:trPr>
          <w:trHeight w:val="506"/>
        </w:trPr>
        <w:tc>
          <w:tcPr>
            <w:tcW w:w="5250" w:type="dxa"/>
            <w:tcBorders>
              <w:top w:val="single" w:sz="16" w:space="0" w:color="000000"/>
              <w:left w:val="single" w:sz="6" w:space="0" w:color="000000"/>
              <w:bottom w:val="single" w:sz="16" w:space="0" w:color="8A8A8A"/>
              <w:right w:val="single" w:sz="6" w:space="0" w:color="000000"/>
            </w:tcBorders>
          </w:tcPr>
          <w:p w:rsidR="00865DDA" w:rsidRDefault="00865DDA" w:rsidP="00B60A1F">
            <w:pPr>
              <w:pStyle w:val="Default"/>
              <w:rPr>
                <w:sz w:val="19"/>
                <w:szCs w:val="19"/>
              </w:rPr>
            </w:pPr>
            <w:r>
              <w:rPr>
                <w:b/>
                <w:bCs/>
                <w:sz w:val="20"/>
                <w:szCs w:val="20"/>
              </w:rPr>
              <w:t>6.6.</w:t>
            </w:r>
            <w:r>
              <w:rPr>
                <w:sz w:val="20"/>
                <w:szCs w:val="20"/>
              </w:rPr>
              <w:t xml:space="preserve"> Zabezpečuje/zohľadňuje/zlepšuje sa prístup znevýhodnených osôb k službám informačnej spoločnosti? </w:t>
            </w:r>
            <w:r>
              <w:rPr>
                <w:i/>
                <w:iCs/>
                <w:sz w:val="19"/>
                <w:szCs w:val="19"/>
              </w:rPr>
              <w:t xml:space="preserve">(Uveďte spôsob sprístupnenia digitálneho prostredia.) </w:t>
            </w:r>
          </w:p>
        </w:tc>
        <w:tc>
          <w:tcPr>
            <w:tcW w:w="3780" w:type="dxa"/>
            <w:tcBorders>
              <w:top w:val="single" w:sz="16" w:space="0" w:color="000000"/>
              <w:left w:val="single" w:sz="6" w:space="0" w:color="000000"/>
              <w:bottom w:val="single" w:sz="16" w:space="0" w:color="8A8A8A"/>
              <w:right w:val="single" w:sz="6" w:space="0" w:color="000000"/>
            </w:tcBorders>
          </w:tcPr>
          <w:p w:rsidR="00865DDA" w:rsidRDefault="00865DDA" w:rsidP="00B60A1F">
            <w:pPr>
              <w:pStyle w:val="Default"/>
              <w:rPr>
                <w:color w:val="auto"/>
              </w:rPr>
            </w:pPr>
            <w:r>
              <w:rPr>
                <w:color w:val="auto"/>
              </w:rPr>
              <w:t>Nie, nie je to predmetom predkladaného materiálu.</w:t>
            </w:r>
          </w:p>
        </w:tc>
      </w:tr>
      <w:tr w:rsidR="00865DDA" w:rsidTr="00B60A1F">
        <w:trPr>
          <w:trHeight w:val="137"/>
        </w:trPr>
        <w:tc>
          <w:tcPr>
            <w:tcW w:w="5250" w:type="dxa"/>
            <w:tcBorders>
              <w:top w:val="single" w:sz="16" w:space="0" w:color="8A8A8A"/>
              <w:left w:val="single" w:sz="6" w:space="0" w:color="000000"/>
              <w:bottom w:val="single" w:sz="16" w:space="0" w:color="000000"/>
              <w:right w:val="single" w:sz="6" w:space="0" w:color="000000"/>
            </w:tcBorders>
            <w:shd w:val="clear" w:color="auto" w:fill="C0C0C0"/>
          </w:tcPr>
          <w:p w:rsidR="00865DDA" w:rsidRDefault="00865DDA" w:rsidP="00B60A1F">
            <w:pPr>
              <w:pStyle w:val="Default"/>
              <w:rPr>
                <w:sz w:val="20"/>
                <w:szCs w:val="20"/>
              </w:rPr>
            </w:pPr>
            <w:r>
              <w:rPr>
                <w:b/>
                <w:bCs/>
                <w:sz w:val="20"/>
                <w:szCs w:val="20"/>
              </w:rPr>
              <w:t xml:space="preserve">Infraštruktúra </w:t>
            </w:r>
          </w:p>
        </w:tc>
        <w:tc>
          <w:tcPr>
            <w:tcW w:w="3780" w:type="dxa"/>
            <w:tcBorders>
              <w:top w:val="single" w:sz="16" w:space="0" w:color="8A8A8A"/>
              <w:left w:val="single" w:sz="6" w:space="0" w:color="000000"/>
              <w:bottom w:val="single" w:sz="16" w:space="0" w:color="000000"/>
              <w:right w:val="single" w:sz="6" w:space="0" w:color="000000"/>
            </w:tcBorders>
            <w:shd w:val="clear" w:color="auto" w:fill="C0C0C0"/>
          </w:tcPr>
          <w:p w:rsidR="00865DDA" w:rsidRDefault="00865DDA" w:rsidP="00B60A1F">
            <w:pPr>
              <w:pStyle w:val="Default"/>
              <w:rPr>
                <w:color w:val="auto"/>
              </w:rPr>
            </w:pPr>
          </w:p>
        </w:tc>
      </w:tr>
      <w:tr w:rsidR="00865DDA" w:rsidTr="00B60A1F">
        <w:trPr>
          <w:trHeight w:val="378"/>
        </w:trPr>
        <w:tc>
          <w:tcPr>
            <w:tcW w:w="525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t>6.7.</w:t>
            </w:r>
            <w:r>
              <w:rPr>
                <w:sz w:val="20"/>
                <w:szCs w:val="20"/>
              </w:rPr>
              <w:t xml:space="preserve"> Rozširuje, inovuje, vytvára alebo zavádza sa nový informačný systém? </w:t>
            </w:r>
            <w:r>
              <w:rPr>
                <w:i/>
                <w:iCs/>
                <w:sz w:val="19"/>
                <w:szCs w:val="19"/>
              </w:rPr>
              <w:t xml:space="preserve">(Uveďte jeho funkciu.) </w:t>
            </w:r>
          </w:p>
        </w:tc>
        <w:tc>
          <w:tcPr>
            <w:tcW w:w="378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t>Nie, nie je to predmetom predkladaného materiálu.</w:t>
            </w:r>
          </w:p>
        </w:tc>
      </w:tr>
      <w:tr w:rsidR="00865DDA" w:rsidTr="00B60A1F">
        <w:trPr>
          <w:trHeight w:val="253"/>
        </w:trPr>
        <w:tc>
          <w:tcPr>
            <w:tcW w:w="525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t>6.8.</w:t>
            </w:r>
            <w:r>
              <w:rPr>
                <w:sz w:val="20"/>
                <w:szCs w:val="20"/>
              </w:rPr>
              <w:t xml:space="preserve"> Rozširuje sa prístupnosť k internetu? </w:t>
            </w:r>
            <w:r>
              <w:rPr>
                <w:i/>
                <w:iCs/>
                <w:sz w:val="19"/>
                <w:szCs w:val="19"/>
              </w:rPr>
              <w:t xml:space="preserve">(Uveďte spôsob rozširovania prístupnosti.) </w:t>
            </w:r>
          </w:p>
        </w:tc>
        <w:tc>
          <w:tcPr>
            <w:tcW w:w="378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t>Nie, nie je to predmetom predkladaného materiálu.</w:t>
            </w:r>
          </w:p>
        </w:tc>
      </w:tr>
      <w:tr w:rsidR="00865DDA" w:rsidTr="00B60A1F">
        <w:trPr>
          <w:trHeight w:val="252"/>
        </w:trPr>
        <w:tc>
          <w:tcPr>
            <w:tcW w:w="525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t>6.9.</w:t>
            </w:r>
            <w:r>
              <w:rPr>
                <w:sz w:val="20"/>
                <w:szCs w:val="20"/>
              </w:rPr>
              <w:t xml:space="preserve"> Rozširuje sa prístupnosť k elektronickým službám? </w:t>
            </w:r>
            <w:r>
              <w:rPr>
                <w:i/>
                <w:iCs/>
                <w:sz w:val="19"/>
                <w:szCs w:val="19"/>
              </w:rPr>
              <w:lastRenderedPageBreak/>
              <w:t xml:space="preserve">(Uveďte spôsob rozširovania prístupnosti.) </w:t>
            </w:r>
          </w:p>
        </w:tc>
        <w:tc>
          <w:tcPr>
            <w:tcW w:w="378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lastRenderedPageBreak/>
              <w:t xml:space="preserve">Nie, nie je to predmetom tohto </w:t>
            </w:r>
            <w:r>
              <w:rPr>
                <w:color w:val="auto"/>
              </w:rPr>
              <w:lastRenderedPageBreak/>
              <w:t>materiálu.</w:t>
            </w:r>
          </w:p>
        </w:tc>
      </w:tr>
      <w:tr w:rsidR="00865DDA" w:rsidTr="00B60A1F">
        <w:trPr>
          <w:trHeight w:val="253"/>
        </w:trPr>
        <w:tc>
          <w:tcPr>
            <w:tcW w:w="525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lastRenderedPageBreak/>
              <w:t>6.10.</w:t>
            </w:r>
            <w:r>
              <w:rPr>
                <w:sz w:val="20"/>
                <w:szCs w:val="20"/>
              </w:rPr>
              <w:t xml:space="preserve"> Zabezpečuje sa technická </w:t>
            </w:r>
            <w:proofErr w:type="spellStart"/>
            <w:r>
              <w:rPr>
                <w:sz w:val="20"/>
                <w:szCs w:val="20"/>
              </w:rPr>
              <w:t>interoperabilita</w:t>
            </w:r>
            <w:proofErr w:type="spellEnd"/>
            <w:r>
              <w:rPr>
                <w:sz w:val="20"/>
                <w:szCs w:val="20"/>
              </w:rPr>
              <w:t xml:space="preserve">? </w:t>
            </w:r>
            <w:r>
              <w:rPr>
                <w:i/>
                <w:iCs/>
                <w:sz w:val="19"/>
                <w:szCs w:val="19"/>
              </w:rPr>
              <w:t xml:space="preserve">(Uveďte spôsob jej zabezpečenia.) </w:t>
            </w:r>
          </w:p>
        </w:tc>
        <w:tc>
          <w:tcPr>
            <w:tcW w:w="378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t>Nie, nie je to predmetom tohto materiálu.</w:t>
            </w:r>
          </w:p>
        </w:tc>
      </w:tr>
      <w:tr w:rsidR="00865DDA" w:rsidTr="00B60A1F">
        <w:trPr>
          <w:trHeight w:val="253"/>
        </w:trPr>
        <w:tc>
          <w:tcPr>
            <w:tcW w:w="525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t>6.11.</w:t>
            </w:r>
            <w:r>
              <w:rPr>
                <w:sz w:val="20"/>
                <w:szCs w:val="20"/>
              </w:rPr>
              <w:t xml:space="preserve"> Zvyšuje sa bezpečnosť IT? </w:t>
            </w:r>
            <w:r>
              <w:rPr>
                <w:sz w:val="19"/>
                <w:szCs w:val="19"/>
              </w:rPr>
              <w:t>(</w:t>
            </w:r>
            <w:r>
              <w:rPr>
                <w:i/>
                <w:iCs/>
                <w:sz w:val="19"/>
                <w:szCs w:val="19"/>
              </w:rPr>
              <w:t xml:space="preserve">Uveďte spôsob zvýšenia bezpečnosti a ochrany IT.) </w:t>
            </w:r>
          </w:p>
        </w:tc>
        <w:tc>
          <w:tcPr>
            <w:tcW w:w="378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t>Nie, nie je to predmetom tohto materiálu.</w:t>
            </w:r>
          </w:p>
        </w:tc>
      </w:tr>
      <w:tr w:rsidR="00865DDA" w:rsidTr="00B60A1F">
        <w:trPr>
          <w:trHeight w:val="253"/>
        </w:trPr>
        <w:tc>
          <w:tcPr>
            <w:tcW w:w="525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t>6.12.</w:t>
            </w:r>
            <w:r>
              <w:rPr>
                <w:sz w:val="20"/>
                <w:szCs w:val="20"/>
              </w:rPr>
              <w:t xml:space="preserve"> Rozširuje sa technická infraštruktúra? </w:t>
            </w:r>
            <w:r>
              <w:rPr>
                <w:sz w:val="19"/>
                <w:szCs w:val="19"/>
              </w:rPr>
              <w:t>(</w:t>
            </w:r>
            <w:r>
              <w:rPr>
                <w:i/>
                <w:iCs/>
                <w:sz w:val="19"/>
                <w:szCs w:val="19"/>
              </w:rPr>
              <w:t xml:space="preserve">Uveďte stručný popis zavádzanej infraštruktúry.) </w:t>
            </w:r>
          </w:p>
        </w:tc>
        <w:tc>
          <w:tcPr>
            <w:tcW w:w="3780" w:type="dxa"/>
            <w:tcBorders>
              <w:top w:val="single" w:sz="16"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t>Nie, nie je to predmetom tohto materiálu.</w:t>
            </w:r>
          </w:p>
        </w:tc>
      </w:tr>
      <w:tr w:rsidR="00865DDA" w:rsidTr="00B60A1F">
        <w:trPr>
          <w:trHeight w:val="142"/>
        </w:trPr>
        <w:tc>
          <w:tcPr>
            <w:tcW w:w="5250" w:type="dxa"/>
            <w:shd w:val="clear" w:color="auto" w:fill="000000"/>
          </w:tcPr>
          <w:p w:rsidR="00865DDA" w:rsidRDefault="00865DDA" w:rsidP="00B60A1F">
            <w:pPr>
              <w:pStyle w:val="Default"/>
              <w:rPr>
                <w:color w:val="FFFFFF"/>
                <w:sz w:val="20"/>
                <w:szCs w:val="20"/>
              </w:rPr>
            </w:pPr>
            <w:r>
              <w:rPr>
                <w:b/>
                <w:bCs/>
                <w:color w:val="FFFFFF"/>
                <w:sz w:val="20"/>
                <w:szCs w:val="20"/>
              </w:rPr>
              <w:t xml:space="preserve">Riadenie procesu informatizácie </w:t>
            </w:r>
          </w:p>
        </w:tc>
        <w:tc>
          <w:tcPr>
            <w:tcW w:w="3780" w:type="dxa"/>
            <w:shd w:val="clear" w:color="auto" w:fill="000000"/>
          </w:tcPr>
          <w:p w:rsidR="00865DDA" w:rsidRDefault="00865DDA" w:rsidP="00B60A1F">
            <w:pPr>
              <w:pStyle w:val="Default"/>
              <w:rPr>
                <w:color w:val="auto"/>
              </w:rPr>
            </w:pPr>
          </w:p>
        </w:tc>
      </w:tr>
      <w:tr w:rsidR="00865DDA" w:rsidTr="00B60A1F">
        <w:trPr>
          <w:trHeight w:val="396"/>
        </w:trPr>
        <w:tc>
          <w:tcPr>
            <w:tcW w:w="5250" w:type="dxa"/>
            <w:tcBorders>
              <w:top w:val="single" w:sz="6"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t>6.13.</w:t>
            </w:r>
            <w:r>
              <w:rPr>
                <w:sz w:val="20"/>
                <w:szCs w:val="20"/>
              </w:rPr>
              <w:t xml:space="preserve"> Predpokladajú sa zmeny v riadení procesu informatizácie? </w:t>
            </w:r>
            <w:r>
              <w:rPr>
                <w:i/>
                <w:iCs/>
                <w:sz w:val="19"/>
                <w:szCs w:val="19"/>
              </w:rPr>
              <w:t xml:space="preserve">(Uveďte popis zmien.) </w:t>
            </w:r>
          </w:p>
        </w:tc>
        <w:tc>
          <w:tcPr>
            <w:tcW w:w="3780" w:type="dxa"/>
            <w:tcBorders>
              <w:top w:val="single" w:sz="6"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t>Nie, z predkladaného materiálu nevyplýva potreba zmeny v procese riadenia informatizácie.</w:t>
            </w:r>
          </w:p>
        </w:tc>
      </w:tr>
      <w:tr w:rsidR="00865DDA" w:rsidTr="00B60A1F">
        <w:trPr>
          <w:trHeight w:val="135"/>
        </w:trPr>
        <w:tc>
          <w:tcPr>
            <w:tcW w:w="5250" w:type="dxa"/>
            <w:shd w:val="clear" w:color="auto" w:fill="000000"/>
          </w:tcPr>
          <w:p w:rsidR="00865DDA" w:rsidRDefault="00865DDA" w:rsidP="00B60A1F">
            <w:pPr>
              <w:pStyle w:val="Default"/>
              <w:rPr>
                <w:color w:val="FFFFFF"/>
                <w:sz w:val="20"/>
                <w:szCs w:val="20"/>
              </w:rPr>
            </w:pPr>
            <w:r>
              <w:rPr>
                <w:b/>
                <w:bCs/>
                <w:color w:val="FFFFFF"/>
                <w:sz w:val="20"/>
                <w:szCs w:val="20"/>
              </w:rPr>
              <w:t xml:space="preserve">Financovanie procesu informatizácie </w:t>
            </w:r>
          </w:p>
        </w:tc>
        <w:tc>
          <w:tcPr>
            <w:tcW w:w="3780" w:type="dxa"/>
            <w:shd w:val="clear" w:color="auto" w:fill="000000"/>
          </w:tcPr>
          <w:p w:rsidR="00865DDA" w:rsidRDefault="00865DDA" w:rsidP="00B60A1F">
            <w:pPr>
              <w:pStyle w:val="Default"/>
              <w:rPr>
                <w:color w:val="auto"/>
              </w:rPr>
            </w:pPr>
          </w:p>
        </w:tc>
      </w:tr>
      <w:tr w:rsidR="00865DDA" w:rsidTr="00B60A1F">
        <w:trPr>
          <w:trHeight w:val="378"/>
        </w:trPr>
        <w:tc>
          <w:tcPr>
            <w:tcW w:w="5250" w:type="dxa"/>
            <w:tcBorders>
              <w:top w:val="single" w:sz="18" w:space="0" w:color="000000"/>
              <w:left w:val="single" w:sz="6" w:space="0" w:color="000000"/>
              <w:bottom w:val="single" w:sz="16" w:space="0" w:color="000000"/>
              <w:right w:val="single" w:sz="6" w:space="0" w:color="000000"/>
            </w:tcBorders>
          </w:tcPr>
          <w:p w:rsidR="00865DDA" w:rsidRDefault="00865DDA" w:rsidP="00B60A1F">
            <w:pPr>
              <w:pStyle w:val="Default"/>
              <w:rPr>
                <w:sz w:val="19"/>
                <w:szCs w:val="19"/>
              </w:rPr>
            </w:pPr>
            <w:r>
              <w:rPr>
                <w:b/>
                <w:bCs/>
                <w:sz w:val="20"/>
                <w:szCs w:val="20"/>
              </w:rPr>
              <w:t>6.14.</w:t>
            </w:r>
            <w:r>
              <w:rPr>
                <w:sz w:val="20"/>
                <w:szCs w:val="20"/>
              </w:rPr>
              <w:t xml:space="preserve"> Vyžaduje si proces informatizácie  finančné investície? </w:t>
            </w:r>
            <w:r>
              <w:rPr>
                <w:i/>
                <w:iCs/>
                <w:sz w:val="19"/>
                <w:szCs w:val="19"/>
              </w:rPr>
              <w:t xml:space="preserve">(Popíšte príslušnú úroveň financovania.) </w:t>
            </w:r>
          </w:p>
        </w:tc>
        <w:tc>
          <w:tcPr>
            <w:tcW w:w="3780" w:type="dxa"/>
            <w:tcBorders>
              <w:top w:val="single" w:sz="18" w:space="0" w:color="000000"/>
              <w:left w:val="single" w:sz="6" w:space="0" w:color="000000"/>
              <w:bottom w:val="single" w:sz="16" w:space="0" w:color="000000"/>
              <w:right w:val="single" w:sz="6" w:space="0" w:color="000000"/>
            </w:tcBorders>
          </w:tcPr>
          <w:p w:rsidR="00865DDA" w:rsidRDefault="00865DDA" w:rsidP="00B60A1F">
            <w:pPr>
              <w:pStyle w:val="Default"/>
              <w:rPr>
                <w:color w:val="auto"/>
              </w:rPr>
            </w:pPr>
            <w:r>
              <w:rPr>
                <w:color w:val="auto"/>
              </w:rPr>
              <w:t>Nie, z predkladaného materiálu nevyplýva potreba riešenia financovania procesu informatizácie.</w:t>
            </w:r>
          </w:p>
        </w:tc>
      </w:tr>
      <w:tr w:rsidR="00865DDA" w:rsidTr="00B60A1F">
        <w:trPr>
          <w:trHeight w:val="135"/>
        </w:trPr>
        <w:tc>
          <w:tcPr>
            <w:tcW w:w="5250" w:type="dxa"/>
            <w:shd w:val="clear" w:color="auto" w:fill="000000"/>
          </w:tcPr>
          <w:p w:rsidR="00865DDA" w:rsidRDefault="00865DDA" w:rsidP="00B60A1F">
            <w:pPr>
              <w:pStyle w:val="Default"/>
              <w:rPr>
                <w:color w:val="FFFFFF"/>
                <w:sz w:val="20"/>
                <w:szCs w:val="20"/>
              </w:rPr>
            </w:pPr>
            <w:r>
              <w:rPr>
                <w:b/>
                <w:bCs/>
                <w:color w:val="FFFFFF"/>
                <w:sz w:val="20"/>
                <w:szCs w:val="20"/>
              </w:rPr>
              <w:t xml:space="preserve">Legislatívne prostredie procesu informatizácie </w:t>
            </w:r>
          </w:p>
        </w:tc>
        <w:tc>
          <w:tcPr>
            <w:tcW w:w="3780" w:type="dxa"/>
            <w:shd w:val="clear" w:color="auto" w:fill="000000"/>
          </w:tcPr>
          <w:p w:rsidR="00865DDA" w:rsidRDefault="00865DDA" w:rsidP="00B60A1F">
            <w:pPr>
              <w:pStyle w:val="Default"/>
              <w:rPr>
                <w:color w:val="auto"/>
              </w:rPr>
            </w:pPr>
          </w:p>
        </w:tc>
      </w:tr>
      <w:tr w:rsidR="00865DDA" w:rsidTr="00B60A1F">
        <w:trPr>
          <w:trHeight w:val="386"/>
        </w:trPr>
        <w:tc>
          <w:tcPr>
            <w:tcW w:w="5250" w:type="dxa"/>
            <w:tcBorders>
              <w:top w:val="single" w:sz="18" w:space="0" w:color="000000"/>
              <w:left w:val="single" w:sz="6" w:space="0" w:color="000000"/>
              <w:bottom w:val="single" w:sz="6" w:space="0" w:color="000000"/>
              <w:right w:val="single" w:sz="6" w:space="0" w:color="000000"/>
            </w:tcBorders>
          </w:tcPr>
          <w:p w:rsidR="00865DDA" w:rsidRDefault="00865DDA" w:rsidP="00B60A1F">
            <w:pPr>
              <w:pStyle w:val="Default"/>
              <w:rPr>
                <w:sz w:val="19"/>
                <w:szCs w:val="19"/>
              </w:rPr>
            </w:pPr>
            <w:r>
              <w:rPr>
                <w:b/>
                <w:bCs/>
                <w:sz w:val="20"/>
                <w:szCs w:val="20"/>
              </w:rPr>
              <w:t>6.15.</w:t>
            </w:r>
            <w:r>
              <w:rPr>
                <w:sz w:val="20"/>
                <w:szCs w:val="20"/>
              </w:rPr>
              <w:t xml:space="preserve"> Predpokladá nelegislatívny materiál potrebu úpravy legislatívneho prostredia procesu informatizácie? </w:t>
            </w:r>
            <w:r>
              <w:rPr>
                <w:i/>
                <w:iCs/>
                <w:sz w:val="19"/>
                <w:szCs w:val="19"/>
              </w:rPr>
              <w:t xml:space="preserve">(Stručne popíšte navrhované legislatívne zmeny.) </w:t>
            </w:r>
          </w:p>
        </w:tc>
        <w:tc>
          <w:tcPr>
            <w:tcW w:w="3780" w:type="dxa"/>
            <w:tcBorders>
              <w:top w:val="single" w:sz="18" w:space="0" w:color="000000"/>
              <w:left w:val="single" w:sz="6" w:space="0" w:color="000000"/>
              <w:bottom w:val="single" w:sz="6" w:space="0" w:color="000000"/>
              <w:right w:val="single" w:sz="6" w:space="0" w:color="000000"/>
            </w:tcBorders>
          </w:tcPr>
          <w:p w:rsidR="00865DDA" w:rsidRDefault="00865DDA" w:rsidP="00B60A1F">
            <w:pPr>
              <w:pStyle w:val="Default"/>
              <w:rPr>
                <w:color w:val="auto"/>
              </w:rPr>
            </w:pPr>
            <w:r>
              <w:rPr>
                <w:color w:val="auto"/>
              </w:rPr>
              <w:t>Nie, predkladaný materiál je legislatívneho charakteru.</w:t>
            </w:r>
          </w:p>
        </w:tc>
      </w:tr>
    </w:tbl>
    <w:p w:rsidR="00865DDA" w:rsidRDefault="00865DDA" w:rsidP="00865DDA"/>
    <w:p w:rsidR="00865DDA" w:rsidRDefault="00865DDA" w:rsidP="00865DDA">
      <w:pPr>
        <w:jc w:val="center"/>
      </w:pPr>
    </w:p>
    <w:p w:rsidR="00865DDA" w:rsidRDefault="00865DDA" w:rsidP="00637861">
      <w:pPr>
        <w:shd w:val="clear" w:color="auto" w:fill="FFFFFF"/>
        <w:ind w:left="7762"/>
      </w:pPr>
    </w:p>
    <w:sectPr w:rsidR="00865DDA" w:rsidSect="00637861">
      <w:pgSz w:w="11909" w:h="16834"/>
      <w:pgMar w:top="1440" w:right="1631" w:bottom="720" w:left="1408"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D4" w:rsidRDefault="00865DDA" w:rsidP="00E12A3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510D4" w:rsidRDefault="00865DDA" w:rsidP="00C71903">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D4" w:rsidRDefault="00865DDA" w:rsidP="00E12A3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14</w:t>
    </w:r>
    <w:r>
      <w:rPr>
        <w:rStyle w:val="slostrany"/>
      </w:rPr>
      <w:fldChar w:fldCharType="end"/>
    </w:r>
  </w:p>
  <w:p w:rsidR="003510D4" w:rsidRDefault="00865DDA" w:rsidP="00C71903">
    <w:pPr>
      <w:pStyle w:val="Pt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953"/>
    <w:multiLevelType w:val="singleLevel"/>
    <w:tmpl w:val="20581EE0"/>
    <w:lvl w:ilvl="0">
      <w:start w:val="1"/>
      <w:numFmt w:val="bullet"/>
      <w:lvlText w:val=""/>
      <w:lvlJc w:val="left"/>
      <w:pPr>
        <w:tabs>
          <w:tab w:val="num" w:pos="340"/>
        </w:tabs>
        <w:ind w:left="340" w:hanging="340"/>
      </w:pPr>
      <w:rPr>
        <w:rFonts w:ascii="Symbol" w:hAnsi="Symbol" w:hint="default"/>
        <w:color w:val="auto"/>
        <w:sz w:val="22"/>
      </w:rPr>
    </w:lvl>
  </w:abstractNum>
  <w:abstractNum w:abstractNumId="1">
    <w:nsid w:val="112204DF"/>
    <w:multiLevelType w:val="hybridMultilevel"/>
    <w:tmpl w:val="0BB216BA"/>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nsid w:val="11784F15"/>
    <w:multiLevelType w:val="hybridMultilevel"/>
    <w:tmpl w:val="11F89E56"/>
    <w:lvl w:ilvl="0" w:tplc="0624E0A8">
      <w:numFmt w:val="decimal"/>
      <w:lvlText w:val="%1"/>
      <w:lvlJc w:val="left"/>
      <w:pPr>
        <w:ind w:left="720" w:hanging="360"/>
      </w:pPr>
      <w:rPr>
        <w:rFonts w:cs="Times New Roman" w:hint="default"/>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7567FA5"/>
    <w:multiLevelType w:val="hybridMultilevel"/>
    <w:tmpl w:val="EB440DDA"/>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1F3A3E76"/>
    <w:multiLevelType w:val="hybridMultilevel"/>
    <w:tmpl w:val="D60ABAA0"/>
    <w:lvl w:ilvl="0" w:tplc="041B000F">
      <w:start w:val="1"/>
      <w:numFmt w:val="decimal"/>
      <w:lvlText w:val="%1."/>
      <w:lvlJc w:val="left"/>
      <w:pPr>
        <w:ind w:left="720" w:hanging="360"/>
      </w:pPr>
      <w:rPr>
        <w:rFonts w:cs="Times New Roman" w:hint="default"/>
      </w:rPr>
    </w:lvl>
    <w:lvl w:ilvl="1" w:tplc="15466302">
      <w:start w:val="323"/>
      <w:numFmt w:val="decimal"/>
      <w:lvlText w:val="%2"/>
      <w:lvlJc w:val="left"/>
      <w:pPr>
        <w:ind w:left="1440" w:hanging="360"/>
      </w:pPr>
      <w:rPr>
        <w:rFonts w:cs="Times New Roman" w:hint="default"/>
        <w:b/>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16B30AB"/>
    <w:multiLevelType w:val="hybridMultilevel"/>
    <w:tmpl w:val="B6A08E44"/>
    <w:lvl w:ilvl="0" w:tplc="041B0005">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6">
    <w:nsid w:val="2A6D460B"/>
    <w:multiLevelType w:val="singleLevel"/>
    <w:tmpl w:val="8B8E6C76"/>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2AB76F5E"/>
    <w:multiLevelType w:val="hybridMultilevel"/>
    <w:tmpl w:val="76507E6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356D6165"/>
    <w:multiLevelType w:val="hybridMultilevel"/>
    <w:tmpl w:val="D0DC3E8A"/>
    <w:lvl w:ilvl="0" w:tplc="47C83E14">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A15077C"/>
    <w:multiLevelType w:val="hybridMultilevel"/>
    <w:tmpl w:val="EFCE3A56"/>
    <w:lvl w:ilvl="0" w:tplc="041B0005">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0">
    <w:nsid w:val="4AB121FC"/>
    <w:multiLevelType w:val="hybridMultilevel"/>
    <w:tmpl w:val="7556EE98"/>
    <w:lvl w:ilvl="0" w:tplc="4F4809A6">
      <w:start w:val="2"/>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nsid w:val="5BCE3D99"/>
    <w:multiLevelType w:val="hybridMultilevel"/>
    <w:tmpl w:val="2CA89712"/>
    <w:lvl w:ilvl="0" w:tplc="3AD2F330">
      <w:numFmt w:val="decimal"/>
      <w:lvlText w:val="%1"/>
      <w:lvlJc w:val="left"/>
      <w:pPr>
        <w:ind w:left="420" w:hanging="360"/>
      </w:pPr>
      <w:rPr>
        <w:rFonts w:cs="Times New Roman" w:hint="default"/>
        <w:b/>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2">
    <w:nsid w:val="5DCF09A7"/>
    <w:multiLevelType w:val="hybridMultilevel"/>
    <w:tmpl w:val="33D278C0"/>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5F6736DE"/>
    <w:multiLevelType w:val="hybridMultilevel"/>
    <w:tmpl w:val="29620386"/>
    <w:lvl w:ilvl="0" w:tplc="1514FBCA">
      <w:start w:val="323"/>
      <w:numFmt w:val="decimal"/>
      <w:lvlText w:val="%1"/>
      <w:lvlJc w:val="left"/>
      <w:pPr>
        <w:ind w:left="645" w:hanging="360"/>
      </w:pPr>
      <w:rPr>
        <w:rFonts w:cs="Times New Roman" w:hint="default"/>
        <w:b/>
      </w:rPr>
    </w:lvl>
    <w:lvl w:ilvl="1" w:tplc="041B0019" w:tentative="1">
      <w:start w:val="1"/>
      <w:numFmt w:val="lowerLetter"/>
      <w:lvlText w:val="%2."/>
      <w:lvlJc w:val="left"/>
      <w:pPr>
        <w:ind w:left="1365" w:hanging="360"/>
      </w:pPr>
      <w:rPr>
        <w:rFonts w:cs="Times New Roman"/>
      </w:rPr>
    </w:lvl>
    <w:lvl w:ilvl="2" w:tplc="041B001B" w:tentative="1">
      <w:start w:val="1"/>
      <w:numFmt w:val="lowerRoman"/>
      <w:lvlText w:val="%3."/>
      <w:lvlJc w:val="right"/>
      <w:pPr>
        <w:ind w:left="2085" w:hanging="180"/>
      </w:pPr>
      <w:rPr>
        <w:rFonts w:cs="Times New Roman"/>
      </w:rPr>
    </w:lvl>
    <w:lvl w:ilvl="3" w:tplc="041B000F" w:tentative="1">
      <w:start w:val="1"/>
      <w:numFmt w:val="decimal"/>
      <w:lvlText w:val="%4."/>
      <w:lvlJc w:val="left"/>
      <w:pPr>
        <w:ind w:left="2805" w:hanging="360"/>
      </w:pPr>
      <w:rPr>
        <w:rFonts w:cs="Times New Roman"/>
      </w:rPr>
    </w:lvl>
    <w:lvl w:ilvl="4" w:tplc="041B0019" w:tentative="1">
      <w:start w:val="1"/>
      <w:numFmt w:val="lowerLetter"/>
      <w:lvlText w:val="%5."/>
      <w:lvlJc w:val="left"/>
      <w:pPr>
        <w:ind w:left="3525" w:hanging="360"/>
      </w:pPr>
      <w:rPr>
        <w:rFonts w:cs="Times New Roman"/>
      </w:rPr>
    </w:lvl>
    <w:lvl w:ilvl="5" w:tplc="041B001B" w:tentative="1">
      <w:start w:val="1"/>
      <w:numFmt w:val="lowerRoman"/>
      <w:lvlText w:val="%6."/>
      <w:lvlJc w:val="right"/>
      <w:pPr>
        <w:ind w:left="4245" w:hanging="180"/>
      </w:pPr>
      <w:rPr>
        <w:rFonts w:cs="Times New Roman"/>
      </w:rPr>
    </w:lvl>
    <w:lvl w:ilvl="6" w:tplc="041B000F" w:tentative="1">
      <w:start w:val="1"/>
      <w:numFmt w:val="decimal"/>
      <w:lvlText w:val="%7."/>
      <w:lvlJc w:val="left"/>
      <w:pPr>
        <w:ind w:left="4965" w:hanging="360"/>
      </w:pPr>
      <w:rPr>
        <w:rFonts w:cs="Times New Roman"/>
      </w:rPr>
    </w:lvl>
    <w:lvl w:ilvl="7" w:tplc="041B0019" w:tentative="1">
      <w:start w:val="1"/>
      <w:numFmt w:val="lowerLetter"/>
      <w:lvlText w:val="%8."/>
      <w:lvlJc w:val="left"/>
      <w:pPr>
        <w:ind w:left="5685" w:hanging="360"/>
      </w:pPr>
      <w:rPr>
        <w:rFonts w:cs="Times New Roman"/>
      </w:rPr>
    </w:lvl>
    <w:lvl w:ilvl="8" w:tplc="041B001B" w:tentative="1">
      <w:start w:val="1"/>
      <w:numFmt w:val="lowerRoman"/>
      <w:lvlText w:val="%9."/>
      <w:lvlJc w:val="right"/>
      <w:pPr>
        <w:ind w:left="6405" w:hanging="180"/>
      </w:pPr>
      <w:rPr>
        <w:rFonts w:cs="Times New Roman"/>
      </w:rPr>
    </w:lvl>
  </w:abstractNum>
  <w:abstractNum w:abstractNumId="14">
    <w:nsid w:val="62510B37"/>
    <w:multiLevelType w:val="singleLevel"/>
    <w:tmpl w:val="7ECE31BE"/>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6319082F"/>
    <w:multiLevelType w:val="hybridMultilevel"/>
    <w:tmpl w:val="4726F9FC"/>
    <w:lvl w:ilvl="0" w:tplc="694045A6">
      <w:start w:val="323"/>
      <w:numFmt w:val="decimal"/>
      <w:lvlText w:val="%1"/>
      <w:lvlJc w:val="left"/>
      <w:pPr>
        <w:ind w:left="645" w:hanging="360"/>
      </w:pPr>
      <w:rPr>
        <w:rFonts w:cs="Times New Roman" w:hint="default"/>
        <w:b/>
      </w:rPr>
    </w:lvl>
    <w:lvl w:ilvl="1" w:tplc="041B0019" w:tentative="1">
      <w:start w:val="1"/>
      <w:numFmt w:val="lowerLetter"/>
      <w:lvlText w:val="%2."/>
      <w:lvlJc w:val="left"/>
      <w:pPr>
        <w:ind w:left="1365" w:hanging="360"/>
      </w:pPr>
      <w:rPr>
        <w:rFonts w:cs="Times New Roman"/>
      </w:rPr>
    </w:lvl>
    <w:lvl w:ilvl="2" w:tplc="041B001B" w:tentative="1">
      <w:start w:val="1"/>
      <w:numFmt w:val="lowerRoman"/>
      <w:lvlText w:val="%3."/>
      <w:lvlJc w:val="right"/>
      <w:pPr>
        <w:ind w:left="2085" w:hanging="180"/>
      </w:pPr>
      <w:rPr>
        <w:rFonts w:cs="Times New Roman"/>
      </w:rPr>
    </w:lvl>
    <w:lvl w:ilvl="3" w:tplc="041B000F" w:tentative="1">
      <w:start w:val="1"/>
      <w:numFmt w:val="decimal"/>
      <w:lvlText w:val="%4."/>
      <w:lvlJc w:val="left"/>
      <w:pPr>
        <w:ind w:left="2805" w:hanging="360"/>
      </w:pPr>
      <w:rPr>
        <w:rFonts w:cs="Times New Roman"/>
      </w:rPr>
    </w:lvl>
    <w:lvl w:ilvl="4" w:tplc="041B0019" w:tentative="1">
      <w:start w:val="1"/>
      <w:numFmt w:val="lowerLetter"/>
      <w:lvlText w:val="%5."/>
      <w:lvlJc w:val="left"/>
      <w:pPr>
        <w:ind w:left="3525" w:hanging="360"/>
      </w:pPr>
      <w:rPr>
        <w:rFonts w:cs="Times New Roman"/>
      </w:rPr>
    </w:lvl>
    <w:lvl w:ilvl="5" w:tplc="041B001B" w:tentative="1">
      <w:start w:val="1"/>
      <w:numFmt w:val="lowerRoman"/>
      <w:lvlText w:val="%6."/>
      <w:lvlJc w:val="right"/>
      <w:pPr>
        <w:ind w:left="4245" w:hanging="180"/>
      </w:pPr>
      <w:rPr>
        <w:rFonts w:cs="Times New Roman"/>
      </w:rPr>
    </w:lvl>
    <w:lvl w:ilvl="6" w:tplc="041B000F" w:tentative="1">
      <w:start w:val="1"/>
      <w:numFmt w:val="decimal"/>
      <w:lvlText w:val="%7."/>
      <w:lvlJc w:val="left"/>
      <w:pPr>
        <w:ind w:left="4965" w:hanging="360"/>
      </w:pPr>
      <w:rPr>
        <w:rFonts w:cs="Times New Roman"/>
      </w:rPr>
    </w:lvl>
    <w:lvl w:ilvl="7" w:tplc="041B0019" w:tentative="1">
      <w:start w:val="1"/>
      <w:numFmt w:val="lowerLetter"/>
      <w:lvlText w:val="%8."/>
      <w:lvlJc w:val="left"/>
      <w:pPr>
        <w:ind w:left="5685" w:hanging="360"/>
      </w:pPr>
      <w:rPr>
        <w:rFonts w:cs="Times New Roman"/>
      </w:rPr>
    </w:lvl>
    <w:lvl w:ilvl="8" w:tplc="041B001B" w:tentative="1">
      <w:start w:val="1"/>
      <w:numFmt w:val="lowerRoman"/>
      <w:lvlText w:val="%9."/>
      <w:lvlJc w:val="right"/>
      <w:pPr>
        <w:ind w:left="6405" w:hanging="180"/>
      </w:pPr>
      <w:rPr>
        <w:rFonts w:cs="Times New Roman"/>
      </w:rPr>
    </w:lvl>
  </w:abstractNum>
  <w:abstractNum w:abstractNumId="16">
    <w:nsid w:val="6E75533F"/>
    <w:multiLevelType w:val="hybridMultilevel"/>
    <w:tmpl w:val="19BA3C1A"/>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7"/>
  </w:num>
  <w:num w:numId="4">
    <w:abstractNumId w:val="16"/>
  </w:num>
  <w:num w:numId="5">
    <w:abstractNumId w:val="1"/>
  </w:num>
  <w:num w:numId="6">
    <w:abstractNumId w:val="10"/>
  </w:num>
  <w:num w:numId="7">
    <w:abstractNumId w:val="3"/>
  </w:num>
  <w:num w:numId="8">
    <w:abstractNumId w:val="9"/>
  </w:num>
  <w:num w:numId="9">
    <w:abstractNumId w:val="5"/>
  </w:num>
  <w:num w:numId="10">
    <w:abstractNumId w:val="2"/>
  </w:num>
  <w:num w:numId="11">
    <w:abstractNumId w:val="15"/>
  </w:num>
  <w:num w:numId="12">
    <w:abstractNumId w:val="13"/>
  </w:num>
  <w:num w:numId="13">
    <w:abstractNumId w:val="8"/>
  </w:num>
  <w:num w:numId="14">
    <w:abstractNumId w:val="11"/>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C9"/>
    <w:rsid w:val="00323DA2"/>
    <w:rsid w:val="00637861"/>
    <w:rsid w:val="00865DDA"/>
    <w:rsid w:val="00A067C9"/>
    <w:rsid w:val="00ED42A2"/>
    <w:rsid w:val="00F81D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utoSpaceDE w:val="0"/>
      <w:autoSpaceDN w:val="0"/>
      <w:adjustRightInd w:val="0"/>
    </w:pPr>
    <w:rPr>
      <w:rFonts w:ascii="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865DDA"/>
    <w:pPr>
      <w:widowControl/>
      <w:tabs>
        <w:tab w:val="center" w:pos="4536"/>
        <w:tab w:val="right" w:pos="9072"/>
      </w:tabs>
      <w:autoSpaceDE/>
      <w:autoSpaceDN/>
      <w:adjustRightInd/>
    </w:pPr>
    <w:rPr>
      <w:sz w:val="24"/>
      <w:szCs w:val="24"/>
    </w:rPr>
  </w:style>
  <w:style w:type="character" w:customStyle="1" w:styleId="PtaChar">
    <w:name w:val="Päta Char"/>
    <w:basedOn w:val="Predvolenpsmoodseku"/>
    <w:link w:val="Pta"/>
    <w:uiPriority w:val="99"/>
    <w:rsid w:val="00865DDA"/>
    <w:rPr>
      <w:rFonts w:ascii="Times New Roman" w:hAnsi="Times New Roman"/>
      <w:sz w:val="24"/>
      <w:szCs w:val="24"/>
    </w:rPr>
  </w:style>
  <w:style w:type="character" w:styleId="slostrany">
    <w:name w:val="page number"/>
    <w:basedOn w:val="Predvolenpsmoodseku"/>
    <w:uiPriority w:val="99"/>
    <w:rsid w:val="00865DDA"/>
    <w:rPr>
      <w:rFonts w:cs="Times New Roman"/>
    </w:rPr>
  </w:style>
  <w:style w:type="paragraph" w:styleId="Normlnywebov">
    <w:name w:val="Normal (Web)"/>
    <w:basedOn w:val="Normlny"/>
    <w:uiPriority w:val="99"/>
    <w:rsid w:val="00865DDA"/>
    <w:pPr>
      <w:widowControl/>
      <w:autoSpaceDE/>
      <w:autoSpaceDN/>
      <w:adjustRightInd/>
      <w:spacing w:before="100" w:beforeAutospacing="1" w:after="100" w:afterAutospacing="1"/>
    </w:pPr>
    <w:rPr>
      <w:sz w:val="24"/>
      <w:szCs w:val="24"/>
    </w:rPr>
  </w:style>
  <w:style w:type="paragraph" w:styleId="Odsekzoznamu">
    <w:name w:val="List Paragraph"/>
    <w:basedOn w:val="Normlny"/>
    <w:uiPriority w:val="34"/>
    <w:qFormat/>
    <w:rsid w:val="00865DDA"/>
    <w:pPr>
      <w:widowControl/>
      <w:autoSpaceDE/>
      <w:autoSpaceDN/>
      <w:adjustRightInd/>
      <w:ind w:left="720"/>
      <w:contextualSpacing/>
    </w:pPr>
    <w:rPr>
      <w:sz w:val="24"/>
      <w:szCs w:val="24"/>
      <w:lang w:eastAsia="cs-CZ"/>
    </w:rPr>
  </w:style>
  <w:style w:type="paragraph" w:styleId="Bezriadkovania">
    <w:name w:val="No Spacing"/>
    <w:uiPriority w:val="1"/>
    <w:qFormat/>
    <w:rsid w:val="00865DDA"/>
    <w:rPr>
      <w:rFonts w:ascii="Times New Roman" w:hAnsi="Times New Roman"/>
      <w:sz w:val="24"/>
      <w:szCs w:val="24"/>
      <w:lang w:eastAsia="cs-CZ"/>
    </w:rPr>
  </w:style>
  <w:style w:type="paragraph" w:customStyle="1" w:styleId="Default">
    <w:name w:val="Default"/>
    <w:rsid w:val="00865DDA"/>
    <w:pPr>
      <w:widowControl w:val="0"/>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utoSpaceDE w:val="0"/>
      <w:autoSpaceDN w:val="0"/>
      <w:adjustRightInd w:val="0"/>
    </w:pPr>
    <w:rPr>
      <w:rFonts w:ascii="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865DDA"/>
    <w:pPr>
      <w:widowControl/>
      <w:tabs>
        <w:tab w:val="center" w:pos="4536"/>
        <w:tab w:val="right" w:pos="9072"/>
      </w:tabs>
      <w:autoSpaceDE/>
      <w:autoSpaceDN/>
      <w:adjustRightInd/>
    </w:pPr>
    <w:rPr>
      <w:sz w:val="24"/>
      <w:szCs w:val="24"/>
    </w:rPr>
  </w:style>
  <w:style w:type="character" w:customStyle="1" w:styleId="PtaChar">
    <w:name w:val="Päta Char"/>
    <w:basedOn w:val="Predvolenpsmoodseku"/>
    <w:link w:val="Pta"/>
    <w:uiPriority w:val="99"/>
    <w:rsid w:val="00865DDA"/>
    <w:rPr>
      <w:rFonts w:ascii="Times New Roman" w:hAnsi="Times New Roman"/>
      <w:sz w:val="24"/>
      <w:szCs w:val="24"/>
    </w:rPr>
  </w:style>
  <w:style w:type="character" w:styleId="slostrany">
    <w:name w:val="page number"/>
    <w:basedOn w:val="Predvolenpsmoodseku"/>
    <w:uiPriority w:val="99"/>
    <w:rsid w:val="00865DDA"/>
    <w:rPr>
      <w:rFonts w:cs="Times New Roman"/>
    </w:rPr>
  </w:style>
  <w:style w:type="paragraph" w:styleId="Normlnywebov">
    <w:name w:val="Normal (Web)"/>
    <w:basedOn w:val="Normlny"/>
    <w:uiPriority w:val="99"/>
    <w:rsid w:val="00865DDA"/>
    <w:pPr>
      <w:widowControl/>
      <w:autoSpaceDE/>
      <w:autoSpaceDN/>
      <w:adjustRightInd/>
      <w:spacing w:before="100" w:beforeAutospacing="1" w:after="100" w:afterAutospacing="1"/>
    </w:pPr>
    <w:rPr>
      <w:sz w:val="24"/>
      <w:szCs w:val="24"/>
    </w:rPr>
  </w:style>
  <w:style w:type="paragraph" w:styleId="Odsekzoznamu">
    <w:name w:val="List Paragraph"/>
    <w:basedOn w:val="Normlny"/>
    <w:uiPriority w:val="34"/>
    <w:qFormat/>
    <w:rsid w:val="00865DDA"/>
    <w:pPr>
      <w:widowControl/>
      <w:autoSpaceDE/>
      <w:autoSpaceDN/>
      <w:adjustRightInd/>
      <w:ind w:left="720"/>
      <w:contextualSpacing/>
    </w:pPr>
    <w:rPr>
      <w:sz w:val="24"/>
      <w:szCs w:val="24"/>
      <w:lang w:eastAsia="cs-CZ"/>
    </w:rPr>
  </w:style>
  <w:style w:type="paragraph" w:styleId="Bezriadkovania">
    <w:name w:val="No Spacing"/>
    <w:uiPriority w:val="1"/>
    <w:qFormat/>
    <w:rsid w:val="00865DDA"/>
    <w:rPr>
      <w:rFonts w:ascii="Times New Roman" w:hAnsi="Times New Roman"/>
      <w:sz w:val="24"/>
      <w:szCs w:val="24"/>
      <w:lang w:eastAsia="cs-CZ"/>
    </w:rPr>
  </w:style>
  <w:style w:type="paragraph" w:customStyle="1" w:styleId="Default">
    <w:name w:val="Default"/>
    <w:rsid w:val="00865DDA"/>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3966</Words>
  <Characters>22610</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martina.mrazova</dc:creator>
  <cp:lastModifiedBy>Marek Jurčišin</cp:lastModifiedBy>
  <cp:revision>4</cp:revision>
  <dcterms:created xsi:type="dcterms:W3CDTF">2012-10-02T14:02:00Z</dcterms:created>
  <dcterms:modified xsi:type="dcterms:W3CDTF">2012-10-05T10:46:00Z</dcterms:modified>
</cp:coreProperties>
</file>